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0F0168" w14:textId="77777777" w:rsidR="00E2037D" w:rsidRPr="00DE76AA" w:rsidRDefault="00E2037D" w:rsidP="001A0F2C">
      <w:pPr>
        <w:tabs>
          <w:tab w:val="left" w:pos="2090"/>
        </w:tabs>
        <w:spacing w:line="276" w:lineRule="auto"/>
        <w:rPr>
          <w:b/>
          <w:color w:val="000000" w:themeColor="text1"/>
          <w:sz w:val="24"/>
          <w:szCs w:val="24"/>
        </w:rPr>
      </w:pPr>
    </w:p>
    <w:p w14:paraId="0FB5C91A" w14:textId="573C9F60" w:rsidR="00E2037D" w:rsidRPr="00DE76AA" w:rsidRDefault="003F2213" w:rsidP="00F53616">
      <w:pPr>
        <w:tabs>
          <w:tab w:val="left" w:pos="2090"/>
        </w:tabs>
        <w:spacing w:line="276" w:lineRule="auto"/>
        <w:jc w:val="both"/>
        <w:rPr>
          <w:b/>
          <w:color w:val="000000" w:themeColor="text1"/>
          <w:sz w:val="24"/>
          <w:szCs w:val="24"/>
        </w:rPr>
      </w:pPr>
      <w:r w:rsidRPr="00DE76AA">
        <w:rPr>
          <w:b/>
          <w:color w:val="000000" w:themeColor="text1"/>
          <w:sz w:val="24"/>
          <w:szCs w:val="24"/>
        </w:rPr>
        <w:t>T</w:t>
      </w:r>
      <w:r w:rsidR="00E2037D" w:rsidRPr="00DE76AA">
        <w:rPr>
          <w:b/>
          <w:color w:val="000000" w:themeColor="text1"/>
          <w:sz w:val="24"/>
          <w:szCs w:val="24"/>
        </w:rPr>
        <w:t xml:space="preserve">he </w:t>
      </w:r>
      <w:r w:rsidRPr="00DE76AA">
        <w:rPr>
          <w:b/>
          <w:color w:val="000000" w:themeColor="text1"/>
          <w:sz w:val="24"/>
          <w:szCs w:val="24"/>
        </w:rPr>
        <w:t xml:space="preserve">ICC’s </w:t>
      </w:r>
      <w:r w:rsidR="00E2037D" w:rsidRPr="00DE76AA">
        <w:rPr>
          <w:b/>
          <w:i/>
          <w:iCs/>
          <w:color w:val="000000" w:themeColor="text1"/>
          <w:sz w:val="24"/>
          <w:szCs w:val="24"/>
        </w:rPr>
        <w:t>Dominic Ongwen</w:t>
      </w:r>
      <w:r w:rsidR="00E2037D" w:rsidRPr="00DE76AA">
        <w:rPr>
          <w:b/>
          <w:color w:val="000000" w:themeColor="text1"/>
          <w:sz w:val="24"/>
          <w:szCs w:val="24"/>
        </w:rPr>
        <w:t xml:space="preserve"> </w:t>
      </w:r>
      <w:r w:rsidR="00E91C6D" w:rsidRPr="00DE76AA">
        <w:rPr>
          <w:b/>
          <w:color w:val="000000" w:themeColor="text1"/>
          <w:sz w:val="24"/>
          <w:szCs w:val="24"/>
        </w:rPr>
        <w:t>judgment</w:t>
      </w:r>
      <w:r w:rsidR="00154186" w:rsidRPr="00DE76AA">
        <w:rPr>
          <w:b/>
          <w:color w:val="000000" w:themeColor="text1"/>
          <w:sz w:val="24"/>
          <w:szCs w:val="24"/>
        </w:rPr>
        <w:t xml:space="preserve">:  </w:t>
      </w:r>
      <w:r w:rsidR="0050636C" w:rsidRPr="00DE76AA">
        <w:rPr>
          <w:b/>
          <w:color w:val="000000" w:themeColor="text1"/>
          <w:sz w:val="24"/>
          <w:szCs w:val="24"/>
        </w:rPr>
        <w:t>Expansion and limits of</w:t>
      </w:r>
      <w:r w:rsidR="00154186" w:rsidRPr="00DE76AA">
        <w:rPr>
          <w:b/>
          <w:color w:val="000000" w:themeColor="text1"/>
          <w:sz w:val="24"/>
          <w:szCs w:val="24"/>
        </w:rPr>
        <w:t xml:space="preserve"> the Rome Statute </w:t>
      </w:r>
    </w:p>
    <w:p w14:paraId="4BF0A783" w14:textId="3C3B7B92" w:rsidR="00E2037D" w:rsidRPr="00DE76AA" w:rsidRDefault="00DE76AA" w:rsidP="00F53616">
      <w:pPr>
        <w:tabs>
          <w:tab w:val="left" w:pos="2090"/>
        </w:tabs>
        <w:spacing w:line="276" w:lineRule="auto"/>
        <w:jc w:val="both"/>
        <w:rPr>
          <w:b/>
          <w:color w:val="000000" w:themeColor="text1"/>
          <w:sz w:val="24"/>
          <w:szCs w:val="24"/>
        </w:rPr>
      </w:pPr>
      <w:r>
        <w:rPr>
          <w:b/>
          <w:color w:val="000000" w:themeColor="text1"/>
          <w:sz w:val="24"/>
          <w:szCs w:val="24"/>
        </w:rPr>
        <w:t xml:space="preserve">By: </w:t>
      </w:r>
      <w:proofErr w:type="spellStart"/>
      <w:r>
        <w:rPr>
          <w:b/>
          <w:color w:val="000000" w:themeColor="text1"/>
          <w:sz w:val="24"/>
          <w:szCs w:val="24"/>
        </w:rPr>
        <w:t>Tonny</w:t>
      </w:r>
      <w:proofErr w:type="spellEnd"/>
      <w:r>
        <w:rPr>
          <w:b/>
          <w:color w:val="000000" w:themeColor="text1"/>
          <w:sz w:val="24"/>
          <w:szCs w:val="24"/>
        </w:rPr>
        <w:t xml:space="preserve"> </w:t>
      </w:r>
      <w:r w:rsidR="00B81DCC">
        <w:rPr>
          <w:b/>
          <w:color w:val="000000" w:themeColor="text1"/>
          <w:sz w:val="24"/>
          <w:szCs w:val="24"/>
        </w:rPr>
        <w:t xml:space="preserve">Raymond </w:t>
      </w:r>
      <w:proofErr w:type="spellStart"/>
      <w:r>
        <w:rPr>
          <w:b/>
          <w:color w:val="000000" w:themeColor="text1"/>
          <w:sz w:val="24"/>
          <w:szCs w:val="24"/>
        </w:rPr>
        <w:t>Krabira</w:t>
      </w:r>
      <w:proofErr w:type="spellEnd"/>
    </w:p>
    <w:p w14:paraId="6A5727DA" w14:textId="77777777" w:rsidR="002B29F0" w:rsidRPr="00DE76AA" w:rsidRDefault="00D844A4" w:rsidP="00F53616">
      <w:pPr>
        <w:tabs>
          <w:tab w:val="left" w:pos="2090"/>
        </w:tabs>
        <w:spacing w:line="276" w:lineRule="auto"/>
        <w:jc w:val="both"/>
        <w:rPr>
          <w:b/>
          <w:color w:val="000000" w:themeColor="text1"/>
          <w:sz w:val="24"/>
          <w:szCs w:val="24"/>
        </w:rPr>
      </w:pPr>
      <w:r w:rsidRPr="00DE76AA">
        <w:rPr>
          <w:b/>
          <w:color w:val="000000" w:themeColor="text1"/>
          <w:sz w:val="24"/>
          <w:szCs w:val="24"/>
        </w:rPr>
        <w:t>Introduction</w:t>
      </w:r>
      <w:r w:rsidRPr="00DE76AA">
        <w:rPr>
          <w:b/>
          <w:color w:val="000000" w:themeColor="text1"/>
          <w:sz w:val="24"/>
          <w:szCs w:val="24"/>
        </w:rPr>
        <w:tab/>
      </w:r>
    </w:p>
    <w:p w14:paraId="2CA0B92D" w14:textId="4AA1EEC8" w:rsidR="0005556D" w:rsidRPr="00DE76AA" w:rsidRDefault="00F00981" w:rsidP="00F53616">
      <w:pPr>
        <w:tabs>
          <w:tab w:val="left" w:pos="2090"/>
        </w:tabs>
        <w:spacing w:line="276" w:lineRule="auto"/>
        <w:jc w:val="both"/>
        <w:rPr>
          <w:color w:val="000000" w:themeColor="text1"/>
          <w:sz w:val="24"/>
          <w:szCs w:val="24"/>
        </w:rPr>
        <w:sectPr w:rsidR="0005556D" w:rsidRPr="00DE76A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440" w:bottom="1440" w:left="1440" w:header="708" w:footer="708" w:gutter="0"/>
          <w:cols w:space="708"/>
          <w:docGrid w:linePitch="360"/>
        </w:sectPr>
      </w:pPr>
      <w:r w:rsidRPr="00DE76AA">
        <w:rPr>
          <w:color w:val="000000" w:themeColor="text1"/>
          <w:sz w:val="24"/>
          <w:szCs w:val="24"/>
        </w:rPr>
        <w:t>O</w:t>
      </w:r>
      <w:r w:rsidR="00F1411E" w:rsidRPr="00DE76AA">
        <w:rPr>
          <w:color w:val="000000" w:themeColor="text1"/>
          <w:sz w:val="24"/>
          <w:szCs w:val="24"/>
        </w:rPr>
        <w:t xml:space="preserve">n February 4, 2021, </w:t>
      </w:r>
      <w:r w:rsidR="009F1D31" w:rsidRPr="00DE76AA">
        <w:rPr>
          <w:color w:val="000000" w:themeColor="text1"/>
          <w:sz w:val="24"/>
          <w:szCs w:val="24"/>
        </w:rPr>
        <w:t>Trial Chamber IX of the</w:t>
      </w:r>
      <w:r w:rsidR="00F1411E" w:rsidRPr="00DE76AA">
        <w:rPr>
          <w:color w:val="000000" w:themeColor="text1"/>
          <w:sz w:val="24"/>
          <w:szCs w:val="24"/>
        </w:rPr>
        <w:t xml:space="preserve"> International Criminal Court (ICC)</w:t>
      </w:r>
      <w:r w:rsidR="009F1D31" w:rsidRPr="00DE76AA">
        <w:rPr>
          <w:color w:val="000000" w:themeColor="text1"/>
          <w:sz w:val="24"/>
          <w:szCs w:val="24"/>
        </w:rPr>
        <w:t xml:space="preserve"> issued its </w:t>
      </w:r>
      <w:r w:rsidR="00E91C6D" w:rsidRPr="00DE76AA">
        <w:rPr>
          <w:color w:val="000000" w:themeColor="text1"/>
          <w:sz w:val="24"/>
          <w:szCs w:val="24"/>
        </w:rPr>
        <w:t>judgment</w:t>
      </w:r>
      <w:r w:rsidR="009F1D31" w:rsidRPr="00DE76AA">
        <w:rPr>
          <w:color w:val="000000" w:themeColor="text1"/>
          <w:sz w:val="24"/>
          <w:szCs w:val="24"/>
        </w:rPr>
        <w:t xml:space="preserve"> in </w:t>
      </w:r>
      <w:r w:rsidR="004C068D" w:rsidRPr="00DE76AA">
        <w:rPr>
          <w:color w:val="000000" w:themeColor="text1"/>
          <w:sz w:val="24"/>
          <w:szCs w:val="24"/>
        </w:rPr>
        <w:t xml:space="preserve">the </w:t>
      </w:r>
      <w:r w:rsidR="009F1D31" w:rsidRPr="00DE76AA">
        <w:rPr>
          <w:i/>
          <w:color w:val="000000" w:themeColor="text1"/>
          <w:sz w:val="24"/>
          <w:szCs w:val="24"/>
        </w:rPr>
        <w:t>Dominic Ongwen</w:t>
      </w:r>
      <w:r w:rsidR="009F1D31" w:rsidRPr="00DE76AA">
        <w:rPr>
          <w:color w:val="000000" w:themeColor="text1"/>
          <w:sz w:val="24"/>
          <w:szCs w:val="24"/>
        </w:rPr>
        <w:t xml:space="preserve"> case, convicting him of 61 </w:t>
      </w:r>
      <w:r w:rsidR="0086620F" w:rsidRPr="00DE76AA">
        <w:rPr>
          <w:color w:val="000000" w:themeColor="text1"/>
          <w:sz w:val="24"/>
          <w:szCs w:val="24"/>
        </w:rPr>
        <w:t xml:space="preserve">out of 70 </w:t>
      </w:r>
      <w:r w:rsidR="009F1D31" w:rsidRPr="00DE76AA">
        <w:rPr>
          <w:color w:val="000000" w:themeColor="text1"/>
          <w:sz w:val="24"/>
          <w:szCs w:val="24"/>
        </w:rPr>
        <w:t>counts of war crimes and crimes against humanity committed</w:t>
      </w:r>
      <w:r w:rsidR="00170A73" w:rsidRPr="00DE76AA">
        <w:rPr>
          <w:color w:val="000000" w:themeColor="text1"/>
          <w:sz w:val="24"/>
          <w:szCs w:val="24"/>
        </w:rPr>
        <w:t xml:space="preserve"> as a </w:t>
      </w:r>
      <w:r w:rsidR="00852E84" w:rsidRPr="00DE76AA">
        <w:rPr>
          <w:color w:val="000000" w:themeColor="text1"/>
          <w:sz w:val="24"/>
          <w:szCs w:val="24"/>
        </w:rPr>
        <w:t>fighter o</w:t>
      </w:r>
      <w:r w:rsidR="00170A73" w:rsidRPr="00DE76AA">
        <w:rPr>
          <w:color w:val="000000" w:themeColor="text1"/>
          <w:sz w:val="24"/>
          <w:szCs w:val="24"/>
        </w:rPr>
        <w:t>f the Lord’s Resistance Army (LRA)</w:t>
      </w:r>
      <w:r w:rsidR="009F1D31" w:rsidRPr="00DE76AA">
        <w:rPr>
          <w:color w:val="000000" w:themeColor="text1"/>
          <w:sz w:val="24"/>
          <w:szCs w:val="24"/>
        </w:rPr>
        <w:t xml:space="preserve"> in Ugan</w:t>
      </w:r>
      <w:r w:rsidR="00EC32B3" w:rsidRPr="00DE76AA">
        <w:rPr>
          <w:color w:val="000000" w:themeColor="text1"/>
          <w:sz w:val="24"/>
          <w:szCs w:val="24"/>
        </w:rPr>
        <w:t>da</w:t>
      </w:r>
      <w:r w:rsidR="007C3B8C" w:rsidRPr="00DE76AA">
        <w:rPr>
          <w:color w:val="000000" w:themeColor="text1"/>
          <w:sz w:val="24"/>
          <w:szCs w:val="24"/>
        </w:rPr>
        <w:t>.</w:t>
      </w:r>
      <w:r w:rsidR="0005556D" w:rsidRPr="00DE76AA">
        <w:rPr>
          <w:rStyle w:val="EndnoteReference"/>
          <w:color w:val="000000" w:themeColor="text1"/>
          <w:sz w:val="24"/>
          <w:szCs w:val="24"/>
        </w:rPr>
        <w:endnoteReference w:id="1"/>
      </w:r>
      <w:r w:rsidR="001A0F2C" w:rsidRPr="00DE76AA">
        <w:rPr>
          <w:color w:val="000000" w:themeColor="text1"/>
          <w:sz w:val="24"/>
          <w:szCs w:val="24"/>
        </w:rPr>
        <w:t xml:space="preserve">  </w:t>
      </w:r>
    </w:p>
    <w:p w14:paraId="0D69B4F0" w14:textId="363A0DCB" w:rsidR="004C068D" w:rsidRPr="00DE76AA" w:rsidRDefault="004C068D"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The </w:t>
      </w:r>
      <w:r w:rsidR="00E91C6D" w:rsidRPr="00DE76AA">
        <w:rPr>
          <w:color w:val="000000" w:themeColor="text1"/>
          <w:sz w:val="24"/>
          <w:szCs w:val="24"/>
        </w:rPr>
        <w:t>judgment</w:t>
      </w:r>
      <w:r w:rsidRPr="00DE76AA">
        <w:rPr>
          <w:color w:val="000000" w:themeColor="text1"/>
          <w:sz w:val="24"/>
          <w:szCs w:val="24"/>
        </w:rPr>
        <w:t xml:space="preserve"> represents a significant step forward in international criminal law. Not only is this the first time the Chamber has considered the offence of forced pregnancy as a crime against humanity and war crime, it is also the first time that the Chamber dealt with a former victim turned perpetrator.</w:t>
      </w:r>
      <w:r w:rsidRPr="00DE76AA">
        <w:rPr>
          <w:rStyle w:val="EndnoteReference"/>
          <w:color w:val="000000" w:themeColor="text1"/>
          <w:sz w:val="24"/>
          <w:szCs w:val="24"/>
        </w:rPr>
        <w:endnoteReference w:id="2"/>
      </w:r>
    </w:p>
    <w:p w14:paraId="2CECCB2A" w14:textId="41A9641C" w:rsidR="006C2927" w:rsidRPr="00DE76AA" w:rsidRDefault="00EC32B3" w:rsidP="00F53616">
      <w:pPr>
        <w:tabs>
          <w:tab w:val="left" w:pos="2090"/>
        </w:tabs>
        <w:spacing w:line="276" w:lineRule="auto"/>
        <w:jc w:val="both"/>
        <w:rPr>
          <w:color w:val="000000" w:themeColor="text1"/>
          <w:sz w:val="24"/>
          <w:szCs w:val="24"/>
        </w:rPr>
      </w:pPr>
      <w:r w:rsidRPr="00DE76AA">
        <w:rPr>
          <w:color w:val="000000" w:themeColor="text1"/>
          <w:sz w:val="24"/>
          <w:szCs w:val="24"/>
        </w:rPr>
        <w:t>This </w:t>
      </w:r>
      <w:r w:rsidRPr="00DE76AA">
        <w:rPr>
          <w:i/>
          <w:iCs/>
          <w:color w:val="000000" w:themeColor="text1"/>
          <w:sz w:val="24"/>
          <w:szCs w:val="24"/>
        </w:rPr>
        <w:t>Insight</w:t>
      </w:r>
      <w:r w:rsidRPr="00DE76AA">
        <w:rPr>
          <w:color w:val="000000" w:themeColor="text1"/>
          <w:sz w:val="24"/>
          <w:szCs w:val="24"/>
        </w:rPr>
        <w:t> </w:t>
      </w:r>
      <w:r w:rsidR="004C068D" w:rsidRPr="00DE76AA">
        <w:rPr>
          <w:color w:val="000000" w:themeColor="text1"/>
          <w:sz w:val="24"/>
          <w:szCs w:val="24"/>
        </w:rPr>
        <w:t xml:space="preserve">describes the </w:t>
      </w:r>
      <w:r w:rsidR="00E91C6D" w:rsidRPr="00DE76AA">
        <w:rPr>
          <w:color w:val="000000" w:themeColor="text1"/>
          <w:sz w:val="24"/>
          <w:szCs w:val="24"/>
        </w:rPr>
        <w:t>judgment</w:t>
      </w:r>
      <w:r w:rsidR="00170A73" w:rsidRPr="00DE76AA">
        <w:rPr>
          <w:color w:val="000000" w:themeColor="text1"/>
          <w:sz w:val="24"/>
          <w:szCs w:val="24"/>
        </w:rPr>
        <w:t>,</w:t>
      </w:r>
      <w:r w:rsidRPr="00DE76AA">
        <w:rPr>
          <w:color w:val="000000" w:themeColor="text1"/>
          <w:sz w:val="24"/>
          <w:szCs w:val="24"/>
        </w:rPr>
        <w:t xml:space="preserve"> with a</w:t>
      </w:r>
      <w:r w:rsidR="00293227" w:rsidRPr="00DE76AA">
        <w:rPr>
          <w:color w:val="000000" w:themeColor="text1"/>
          <w:sz w:val="24"/>
          <w:szCs w:val="24"/>
        </w:rPr>
        <w:t xml:space="preserve"> particular</w:t>
      </w:r>
      <w:r w:rsidRPr="00DE76AA">
        <w:rPr>
          <w:color w:val="000000" w:themeColor="text1"/>
          <w:sz w:val="24"/>
          <w:szCs w:val="24"/>
        </w:rPr>
        <w:t xml:space="preserve"> focus on </w:t>
      </w:r>
      <w:bookmarkStart w:id="0" w:name="_Hlk65769894"/>
      <w:r w:rsidR="00293227" w:rsidRPr="00DE76AA">
        <w:rPr>
          <w:color w:val="000000" w:themeColor="text1"/>
          <w:sz w:val="24"/>
          <w:szCs w:val="24"/>
        </w:rPr>
        <w:t xml:space="preserve">the </w:t>
      </w:r>
      <w:r w:rsidRPr="00DE76AA">
        <w:rPr>
          <w:color w:val="000000" w:themeColor="text1"/>
          <w:sz w:val="24"/>
          <w:szCs w:val="24"/>
        </w:rPr>
        <w:t xml:space="preserve">evolution </w:t>
      </w:r>
      <w:r w:rsidR="00293227" w:rsidRPr="00DE76AA">
        <w:rPr>
          <w:color w:val="000000" w:themeColor="text1"/>
          <w:sz w:val="24"/>
          <w:szCs w:val="24"/>
        </w:rPr>
        <w:t xml:space="preserve">in the law regarding </w:t>
      </w:r>
      <w:r w:rsidRPr="00DE76AA">
        <w:rPr>
          <w:color w:val="000000" w:themeColor="text1"/>
          <w:sz w:val="24"/>
          <w:szCs w:val="24"/>
        </w:rPr>
        <w:t>the conceptualization and recognition of crimes of forced marriage and forced pregnanc</w:t>
      </w:r>
      <w:r w:rsidR="00D66072" w:rsidRPr="00DE76AA">
        <w:rPr>
          <w:color w:val="000000" w:themeColor="text1"/>
          <w:sz w:val="24"/>
          <w:szCs w:val="24"/>
        </w:rPr>
        <w:t>y</w:t>
      </w:r>
      <w:r w:rsidR="00293227" w:rsidRPr="00DE76AA">
        <w:rPr>
          <w:color w:val="000000" w:themeColor="text1"/>
          <w:sz w:val="24"/>
          <w:szCs w:val="24"/>
        </w:rPr>
        <w:t xml:space="preserve">.  This </w:t>
      </w:r>
      <w:r w:rsidR="00293227" w:rsidRPr="00DE76AA">
        <w:rPr>
          <w:i/>
          <w:color w:val="000000" w:themeColor="text1"/>
          <w:sz w:val="24"/>
          <w:szCs w:val="24"/>
        </w:rPr>
        <w:t>Insight</w:t>
      </w:r>
      <w:r w:rsidR="00293227" w:rsidRPr="00DE76AA">
        <w:rPr>
          <w:color w:val="000000" w:themeColor="text1"/>
          <w:sz w:val="24"/>
          <w:szCs w:val="24"/>
        </w:rPr>
        <w:t xml:space="preserve"> also examines</w:t>
      </w:r>
      <w:r w:rsidRPr="00DE76AA">
        <w:rPr>
          <w:color w:val="000000" w:themeColor="text1"/>
          <w:sz w:val="24"/>
          <w:szCs w:val="24"/>
        </w:rPr>
        <w:t xml:space="preserve"> </w:t>
      </w:r>
      <w:r w:rsidR="00293227" w:rsidRPr="00DE76AA">
        <w:rPr>
          <w:color w:val="000000" w:themeColor="text1"/>
          <w:sz w:val="24"/>
          <w:szCs w:val="24"/>
        </w:rPr>
        <w:t xml:space="preserve">how </w:t>
      </w:r>
      <w:r w:rsidRPr="00DE76AA">
        <w:rPr>
          <w:color w:val="000000" w:themeColor="text1"/>
          <w:sz w:val="24"/>
          <w:szCs w:val="24"/>
        </w:rPr>
        <w:t xml:space="preserve">the Chamber </w:t>
      </w:r>
      <w:r w:rsidR="00293227" w:rsidRPr="00DE76AA">
        <w:rPr>
          <w:color w:val="000000" w:themeColor="text1"/>
          <w:sz w:val="24"/>
          <w:szCs w:val="24"/>
        </w:rPr>
        <w:t>treated</w:t>
      </w:r>
      <w:r w:rsidRPr="00DE76AA">
        <w:rPr>
          <w:color w:val="000000" w:themeColor="text1"/>
          <w:sz w:val="24"/>
          <w:szCs w:val="24"/>
        </w:rPr>
        <w:t xml:space="preserve"> the impact of </w:t>
      </w:r>
      <w:r w:rsidR="00293227" w:rsidRPr="00DE76AA">
        <w:rPr>
          <w:color w:val="000000" w:themeColor="text1"/>
          <w:sz w:val="24"/>
          <w:szCs w:val="24"/>
        </w:rPr>
        <w:t xml:space="preserve">Ongwen’s status as a previous </w:t>
      </w:r>
      <w:r w:rsidRPr="00DE76AA">
        <w:rPr>
          <w:color w:val="000000" w:themeColor="text1"/>
          <w:sz w:val="24"/>
          <w:szCs w:val="24"/>
        </w:rPr>
        <w:t xml:space="preserve">child </w:t>
      </w:r>
      <w:r w:rsidR="00293227" w:rsidRPr="00DE76AA">
        <w:rPr>
          <w:color w:val="000000" w:themeColor="text1"/>
          <w:sz w:val="24"/>
          <w:szCs w:val="24"/>
        </w:rPr>
        <w:t xml:space="preserve">victim </w:t>
      </w:r>
      <w:r w:rsidRPr="00DE76AA">
        <w:rPr>
          <w:color w:val="000000" w:themeColor="text1"/>
          <w:sz w:val="24"/>
          <w:szCs w:val="24"/>
        </w:rPr>
        <w:t xml:space="preserve">on </w:t>
      </w:r>
      <w:r w:rsidR="00293227" w:rsidRPr="00DE76AA">
        <w:rPr>
          <w:color w:val="000000" w:themeColor="text1"/>
          <w:sz w:val="24"/>
          <w:szCs w:val="24"/>
        </w:rPr>
        <w:t xml:space="preserve">his </w:t>
      </w:r>
      <w:r w:rsidRPr="00DE76AA">
        <w:rPr>
          <w:color w:val="000000" w:themeColor="text1"/>
          <w:sz w:val="24"/>
          <w:szCs w:val="24"/>
        </w:rPr>
        <w:t>criminal liability.</w:t>
      </w:r>
      <w:bookmarkEnd w:id="0"/>
    </w:p>
    <w:p w14:paraId="54A0EC83" w14:textId="77777777" w:rsidR="001B2843" w:rsidRPr="00DE76AA" w:rsidRDefault="00B334EE" w:rsidP="00F53616">
      <w:pPr>
        <w:tabs>
          <w:tab w:val="left" w:pos="2090"/>
        </w:tabs>
        <w:spacing w:line="276" w:lineRule="auto"/>
        <w:jc w:val="both"/>
        <w:rPr>
          <w:b/>
          <w:color w:val="000000" w:themeColor="text1"/>
          <w:sz w:val="24"/>
          <w:szCs w:val="24"/>
        </w:rPr>
      </w:pPr>
      <w:r w:rsidRPr="00DE76AA">
        <w:rPr>
          <w:b/>
          <w:color w:val="000000" w:themeColor="text1"/>
          <w:sz w:val="24"/>
          <w:szCs w:val="24"/>
        </w:rPr>
        <w:t xml:space="preserve">Background and </w:t>
      </w:r>
      <w:r w:rsidR="006C2927" w:rsidRPr="00DE76AA">
        <w:rPr>
          <w:b/>
          <w:color w:val="000000" w:themeColor="text1"/>
          <w:sz w:val="24"/>
          <w:szCs w:val="24"/>
        </w:rPr>
        <w:t>Decision</w:t>
      </w:r>
    </w:p>
    <w:p w14:paraId="581020E6" w14:textId="34842EB5" w:rsidR="00170A73" w:rsidRPr="00DE76AA" w:rsidRDefault="006C2927"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The factual background relates to </w:t>
      </w:r>
      <w:r w:rsidR="0047336B" w:rsidRPr="00DE76AA">
        <w:rPr>
          <w:color w:val="000000" w:themeColor="text1"/>
          <w:sz w:val="24"/>
          <w:szCs w:val="24"/>
        </w:rPr>
        <w:t xml:space="preserve">the </w:t>
      </w:r>
      <w:r w:rsidRPr="00DE76AA">
        <w:rPr>
          <w:color w:val="000000" w:themeColor="text1"/>
          <w:sz w:val="24"/>
          <w:szCs w:val="24"/>
        </w:rPr>
        <w:t>two decade-long civil war between the</w:t>
      </w:r>
      <w:r w:rsidR="002006CD" w:rsidRPr="00DE76AA">
        <w:rPr>
          <w:color w:val="000000" w:themeColor="text1"/>
          <w:sz w:val="24"/>
          <w:szCs w:val="24"/>
        </w:rPr>
        <w:t xml:space="preserve"> Lord’s Resistance Army</w:t>
      </w:r>
      <w:r w:rsidR="002108CE" w:rsidRPr="00DE76AA">
        <w:rPr>
          <w:color w:val="000000" w:themeColor="text1"/>
          <w:sz w:val="24"/>
          <w:szCs w:val="24"/>
        </w:rPr>
        <w:t xml:space="preserve"> </w:t>
      </w:r>
      <w:r w:rsidR="002006CD" w:rsidRPr="00DE76AA">
        <w:rPr>
          <w:color w:val="000000" w:themeColor="text1"/>
          <w:sz w:val="24"/>
          <w:szCs w:val="24"/>
        </w:rPr>
        <w:t xml:space="preserve">(LRA) </w:t>
      </w:r>
      <w:r w:rsidRPr="00DE76AA">
        <w:rPr>
          <w:color w:val="000000" w:themeColor="text1"/>
          <w:sz w:val="24"/>
          <w:szCs w:val="24"/>
        </w:rPr>
        <w:t>and the Uganda People’s Defence Forces (UPDF)</w:t>
      </w:r>
      <w:r w:rsidR="0047336B" w:rsidRPr="00DE76AA">
        <w:rPr>
          <w:color w:val="000000" w:themeColor="text1"/>
          <w:sz w:val="24"/>
          <w:szCs w:val="24"/>
        </w:rPr>
        <w:t xml:space="preserve"> in Northe</w:t>
      </w:r>
      <w:r w:rsidR="00947044" w:rsidRPr="00DE76AA">
        <w:rPr>
          <w:color w:val="000000" w:themeColor="text1"/>
          <w:sz w:val="24"/>
          <w:szCs w:val="24"/>
        </w:rPr>
        <w:t>r</w:t>
      </w:r>
      <w:r w:rsidR="0047336B" w:rsidRPr="00DE76AA">
        <w:rPr>
          <w:color w:val="000000" w:themeColor="text1"/>
          <w:sz w:val="24"/>
          <w:szCs w:val="24"/>
        </w:rPr>
        <w:t xml:space="preserve">n Uganda. </w:t>
      </w:r>
      <w:r w:rsidR="008601F3" w:rsidRPr="00DE76AA">
        <w:rPr>
          <w:color w:val="000000" w:themeColor="text1"/>
          <w:sz w:val="24"/>
          <w:szCs w:val="24"/>
        </w:rPr>
        <w:t xml:space="preserve">A range of crimes against humanity and war crimes were committed by the LRA and UPDF. </w:t>
      </w:r>
      <w:r w:rsidR="0047336B" w:rsidRPr="00DE76AA">
        <w:rPr>
          <w:color w:val="000000" w:themeColor="text1"/>
          <w:sz w:val="24"/>
          <w:szCs w:val="24"/>
        </w:rPr>
        <w:t>The Uganda government referred t</w:t>
      </w:r>
      <w:r w:rsidR="002006CD" w:rsidRPr="00DE76AA">
        <w:rPr>
          <w:color w:val="000000" w:themeColor="text1"/>
          <w:sz w:val="24"/>
          <w:szCs w:val="24"/>
        </w:rPr>
        <w:t>he</w:t>
      </w:r>
      <w:r w:rsidR="0047336B" w:rsidRPr="00DE76AA">
        <w:rPr>
          <w:color w:val="000000" w:themeColor="text1"/>
          <w:sz w:val="24"/>
          <w:szCs w:val="24"/>
        </w:rPr>
        <w:t xml:space="preserve"> situation to the ICC</w:t>
      </w:r>
      <w:r w:rsidR="002108CE" w:rsidRPr="00DE76AA">
        <w:rPr>
          <w:color w:val="000000" w:themeColor="text1"/>
          <w:sz w:val="24"/>
          <w:szCs w:val="24"/>
        </w:rPr>
        <w:t xml:space="preserve"> in </w:t>
      </w:r>
      <w:r w:rsidR="00F835BC" w:rsidRPr="00DE76AA">
        <w:rPr>
          <w:color w:val="000000" w:themeColor="text1"/>
          <w:sz w:val="24"/>
          <w:szCs w:val="24"/>
        </w:rPr>
        <w:t>2013</w:t>
      </w:r>
      <w:r w:rsidR="0047336B" w:rsidRPr="00DE76AA">
        <w:rPr>
          <w:color w:val="000000" w:themeColor="text1"/>
          <w:sz w:val="24"/>
          <w:szCs w:val="24"/>
        </w:rPr>
        <w:t>, leading to the investigation and indictment of the LRA’s five most senior commanders</w:t>
      </w:r>
      <w:r w:rsidR="00600A1B" w:rsidRPr="00DE76AA">
        <w:rPr>
          <w:color w:val="000000" w:themeColor="text1"/>
          <w:sz w:val="24"/>
          <w:szCs w:val="24"/>
        </w:rPr>
        <w:t xml:space="preserve"> in 2005.</w:t>
      </w:r>
      <w:r w:rsidR="00600A1B" w:rsidRPr="00DE76AA">
        <w:rPr>
          <w:rStyle w:val="EndnoteReference"/>
          <w:color w:val="000000" w:themeColor="text1"/>
          <w:sz w:val="24"/>
          <w:szCs w:val="24"/>
        </w:rPr>
        <w:endnoteReference w:id="3"/>
      </w:r>
      <w:r w:rsidR="0047336B" w:rsidRPr="00DE76AA">
        <w:rPr>
          <w:color w:val="000000" w:themeColor="text1"/>
          <w:sz w:val="24"/>
          <w:szCs w:val="24"/>
        </w:rPr>
        <w:t xml:space="preserve"> </w:t>
      </w:r>
      <w:r w:rsidR="00170A73" w:rsidRPr="00DE76AA">
        <w:rPr>
          <w:color w:val="000000" w:themeColor="text1"/>
          <w:sz w:val="24"/>
          <w:szCs w:val="24"/>
        </w:rPr>
        <w:t xml:space="preserve">   </w:t>
      </w:r>
      <w:r w:rsidR="00FF6ECB" w:rsidRPr="00DE76AA">
        <w:rPr>
          <w:color w:val="000000" w:themeColor="text1"/>
          <w:sz w:val="24"/>
          <w:szCs w:val="24"/>
        </w:rPr>
        <w:t xml:space="preserve">One of these five, Dominic </w:t>
      </w:r>
      <w:r w:rsidR="00170A73" w:rsidRPr="00DE76AA">
        <w:rPr>
          <w:color w:val="000000" w:themeColor="text1"/>
          <w:sz w:val="24"/>
          <w:szCs w:val="24"/>
        </w:rPr>
        <w:t>Ongwen</w:t>
      </w:r>
      <w:r w:rsidR="00FF6ECB" w:rsidRPr="00DE76AA">
        <w:rPr>
          <w:color w:val="000000" w:themeColor="text1"/>
          <w:sz w:val="24"/>
          <w:szCs w:val="24"/>
        </w:rPr>
        <w:t>,</w:t>
      </w:r>
      <w:r w:rsidR="00170A73" w:rsidRPr="00DE76AA">
        <w:rPr>
          <w:color w:val="000000" w:themeColor="text1"/>
          <w:sz w:val="24"/>
          <w:szCs w:val="24"/>
        </w:rPr>
        <w:t xml:space="preserve"> was abducted as a </w:t>
      </w:r>
      <w:r w:rsidR="00947044" w:rsidRPr="00DE76AA">
        <w:rPr>
          <w:color w:val="000000" w:themeColor="text1"/>
          <w:sz w:val="24"/>
          <w:szCs w:val="24"/>
        </w:rPr>
        <w:t>10-year-old</w:t>
      </w:r>
      <w:r w:rsidR="00170A73" w:rsidRPr="00DE76AA">
        <w:rPr>
          <w:color w:val="000000" w:themeColor="text1"/>
          <w:sz w:val="24"/>
          <w:szCs w:val="24"/>
        </w:rPr>
        <w:t xml:space="preserve"> child by the LRA under the command of </w:t>
      </w:r>
      <w:r w:rsidR="00170A73" w:rsidRPr="00DE76AA">
        <w:rPr>
          <w:iCs/>
          <w:color w:val="000000" w:themeColor="text1"/>
          <w:sz w:val="24"/>
          <w:szCs w:val="24"/>
        </w:rPr>
        <w:t>Joseph Kony</w:t>
      </w:r>
      <w:r w:rsidR="00170A73" w:rsidRPr="00DE76AA">
        <w:rPr>
          <w:color w:val="000000" w:themeColor="text1"/>
          <w:sz w:val="24"/>
          <w:szCs w:val="24"/>
        </w:rPr>
        <w:t xml:space="preserve">. </w:t>
      </w:r>
    </w:p>
    <w:p w14:paraId="1F3F6BED" w14:textId="6D5F24A6" w:rsidR="008601F3" w:rsidRPr="00DE76AA" w:rsidRDefault="008601F3" w:rsidP="00F53616">
      <w:pPr>
        <w:tabs>
          <w:tab w:val="left" w:pos="2090"/>
        </w:tabs>
        <w:spacing w:line="276" w:lineRule="auto"/>
        <w:jc w:val="both"/>
        <w:rPr>
          <w:color w:val="000000" w:themeColor="text1"/>
          <w:sz w:val="24"/>
          <w:szCs w:val="24"/>
        </w:rPr>
      </w:pPr>
      <w:r w:rsidRPr="00DE76AA">
        <w:rPr>
          <w:color w:val="000000" w:themeColor="text1"/>
          <w:sz w:val="24"/>
          <w:szCs w:val="24"/>
        </w:rPr>
        <w:t>Ongwen was charge</w:t>
      </w:r>
      <w:r w:rsidR="00E179DB" w:rsidRPr="00DE76AA">
        <w:rPr>
          <w:color w:val="000000" w:themeColor="text1"/>
          <w:sz w:val="24"/>
          <w:szCs w:val="24"/>
        </w:rPr>
        <w:t xml:space="preserve">d with </w:t>
      </w:r>
      <w:r w:rsidRPr="00DE76AA">
        <w:rPr>
          <w:color w:val="000000" w:themeColor="text1"/>
          <w:sz w:val="24"/>
          <w:szCs w:val="24"/>
        </w:rPr>
        <w:t>70 counts</w:t>
      </w:r>
      <w:r w:rsidR="00E179DB" w:rsidRPr="00DE76AA">
        <w:rPr>
          <w:color w:val="000000" w:themeColor="text1"/>
          <w:sz w:val="24"/>
          <w:szCs w:val="24"/>
        </w:rPr>
        <w:t xml:space="preserve"> of</w:t>
      </w:r>
      <w:r w:rsidRPr="00DE76AA">
        <w:rPr>
          <w:color w:val="000000" w:themeColor="text1"/>
          <w:sz w:val="24"/>
          <w:szCs w:val="24"/>
        </w:rPr>
        <w:t xml:space="preserve"> war crimes and crimes against humanity</w:t>
      </w:r>
      <w:r w:rsidR="00E179DB" w:rsidRPr="00DE76AA">
        <w:rPr>
          <w:color w:val="000000" w:themeColor="text1"/>
          <w:sz w:val="24"/>
          <w:szCs w:val="24"/>
        </w:rPr>
        <w:t xml:space="preserve"> </w:t>
      </w:r>
      <w:r w:rsidRPr="00DE76AA">
        <w:rPr>
          <w:color w:val="000000" w:themeColor="text1"/>
          <w:sz w:val="24"/>
          <w:szCs w:val="24"/>
        </w:rPr>
        <w:t xml:space="preserve">against </w:t>
      </w:r>
      <w:r w:rsidR="00E179DB" w:rsidRPr="00DE76AA">
        <w:rPr>
          <w:color w:val="000000" w:themeColor="text1"/>
          <w:sz w:val="24"/>
          <w:szCs w:val="24"/>
        </w:rPr>
        <w:t>civilians</w:t>
      </w:r>
      <w:r w:rsidR="00947044" w:rsidRPr="00DE76AA">
        <w:rPr>
          <w:color w:val="000000" w:themeColor="text1"/>
          <w:sz w:val="24"/>
          <w:szCs w:val="24"/>
        </w:rPr>
        <w:t xml:space="preserve"> </w:t>
      </w:r>
      <w:r w:rsidR="00E179DB" w:rsidRPr="00DE76AA">
        <w:rPr>
          <w:color w:val="000000" w:themeColor="text1"/>
          <w:sz w:val="24"/>
          <w:szCs w:val="24"/>
        </w:rPr>
        <w:t xml:space="preserve">between </w:t>
      </w:r>
      <w:r w:rsidRPr="00DE76AA">
        <w:rPr>
          <w:color w:val="000000" w:themeColor="text1"/>
          <w:sz w:val="24"/>
          <w:szCs w:val="24"/>
        </w:rPr>
        <w:t xml:space="preserve">2002 </w:t>
      </w:r>
      <w:r w:rsidR="00E179DB" w:rsidRPr="00DE76AA">
        <w:rPr>
          <w:color w:val="000000" w:themeColor="text1"/>
          <w:sz w:val="24"/>
          <w:szCs w:val="24"/>
        </w:rPr>
        <w:t xml:space="preserve">and </w:t>
      </w:r>
      <w:r w:rsidRPr="00DE76AA">
        <w:rPr>
          <w:color w:val="000000" w:themeColor="text1"/>
          <w:sz w:val="24"/>
          <w:szCs w:val="24"/>
        </w:rPr>
        <w:t>2005</w:t>
      </w:r>
      <w:r w:rsidR="00E179DB" w:rsidRPr="00DE76AA">
        <w:rPr>
          <w:color w:val="000000" w:themeColor="text1"/>
          <w:sz w:val="24"/>
          <w:szCs w:val="24"/>
        </w:rPr>
        <w:t xml:space="preserve"> under three broad categories: (i) four specific attacks against four Internally Displaced People’s (IDP) camps</w:t>
      </w:r>
      <w:r w:rsidR="00E91C6D" w:rsidRPr="00DE76AA">
        <w:rPr>
          <w:color w:val="000000" w:themeColor="text1"/>
          <w:sz w:val="24"/>
          <w:szCs w:val="24"/>
        </w:rPr>
        <w:t>;</w:t>
      </w:r>
      <w:r w:rsidR="00E179DB" w:rsidRPr="00DE76AA">
        <w:rPr>
          <w:color w:val="000000" w:themeColor="text1"/>
          <w:sz w:val="24"/>
          <w:szCs w:val="24"/>
        </w:rPr>
        <w:t xml:space="preserve"> (ii) </w:t>
      </w:r>
      <w:bookmarkStart w:id="1" w:name="_Hlk67655669"/>
      <w:r w:rsidR="00E91C6D" w:rsidRPr="00DE76AA">
        <w:rPr>
          <w:color w:val="000000" w:themeColor="text1"/>
          <w:sz w:val="24"/>
          <w:szCs w:val="24"/>
        </w:rPr>
        <w:t>sexual and gender-based violence (</w:t>
      </w:r>
      <w:r w:rsidR="00E179DB" w:rsidRPr="00DE76AA">
        <w:rPr>
          <w:color w:val="000000" w:themeColor="text1"/>
          <w:sz w:val="24"/>
          <w:szCs w:val="24"/>
        </w:rPr>
        <w:t>SGBV</w:t>
      </w:r>
      <w:r w:rsidR="00E91C6D" w:rsidRPr="00DE76AA">
        <w:rPr>
          <w:color w:val="000000" w:themeColor="text1"/>
          <w:sz w:val="24"/>
          <w:szCs w:val="24"/>
        </w:rPr>
        <w:t>)</w:t>
      </w:r>
      <w:r w:rsidR="00A520C5" w:rsidRPr="00DE76AA">
        <w:rPr>
          <w:color w:val="000000" w:themeColor="text1"/>
          <w:sz w:val="24"/>
          <w:szCs w:val="24"/>
        </w:rPr>
        <w:t xml:space="preserve"> </w:t>
      </w:r>
      <w:r w:rsidR="00E179DB" w:rsidRPr="00DE76AA">
        <w:rPr>
          <w:color w:val="000000" w:themeColor="text1"/>
          <w:sz w:val="24"/>
          <w:szCs w:val="24"/>
        </w:rPr>
        <w:t xml:space="preserve">crimes directly perpetrated by </w:t>
      </w:r>
      <w:bookmarkStart w:id="2" w:name="_Hlk70350867"/>
      <w:r w:rsidR="00E179DB" w:rsidRPr="00DE76AA">
        <w:rPr>
          <w:color w:val="000000" w:themeColor="text1"/>
          <w:sz w:val="24"/>
          <w:szCs w:val="24"/>
        </w:rPr>
        <w:t>him against seven women</w:t>
      </w:r>
      <w:r w:rsidR="00E91C6D" w:rsidRPr="00DE76AA">
        <w:rPr>
          <w:color w:val="000000" w:themeColor="text1"/>
          <w:sz w:val="24"/>
          <w:szCs w:val="24"/>
        </w:rPr>
        <w:t>;</w:t>
      </w:r>
      <w:r w:rsidR="00E179DB" w:rsidRPr="00DE76AA">
        <w:rPr>
          <w:color w:val="000000" w:themeColor="text1"/>
          <w:sz w:val="24"/>
          <w:szCs w:val="24"/>
        </w:rPr>
        <w:t xml:space="preserve"> and </w:t>
      </w:r>
      <w:bookmarkEnd w:id="1"/>
      <w:r w:rsidR="00E179DB" w:rsidRPr="00DE76AA">
        <w:rPr>
          <w:color w:val="000000" w:themeColor="text1"/>
          <w:sz w:val="24"/>
          <w:szCs w:val="24"/>
        </w:rPr>
        <w:t>(iii) SGBV crimes and conscription and use in hostilities of children under the age of fifteen.</w:t>
      </w:r>
      <w:r w:rsidR="00E179DB" w:rsidRPr="00DE76AA">
        <w:rPr>
          <w:rStyle w:val="EndnoteReference"/>
          <w:color w:val="000000" w:themeColor="text1"/>
          <w:sz w:val="24"/>
          <w:szCs w:val="24"/>
        </w:rPr>
        <w:endnoteReference w:id="4"/>
      </w:r>
      <w:r w:rsidR="00E179DB" w:rsidRPr="00DE76AA">
        <w:rPr>
          <w:color w:val="000000" w:themeColor="text1"/>
          <w:sz w:val="24"/>
          <w:szCs w:val="24"/>
        </w:rPr>
        <w:t xml:space="preserve">  </w:t>
      </w:r>
      <w:bookmarkEnd w:id="2"/>
    </w:p>
    <w:p w14:paraId="5469CDC3" w14:textId="1D75CC0A" w:rsidR="00490C03" w:rsidRPr="00DE76AA" w:rsidRDefault="002006CD"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 </w:t>
      </w:r>
      <w:r w:rsidR="00B00178" w:rsidRPr="00DE76AA">
        <w:rPr>
          <w:iCs/>
          <w:color w:val="000000" w:themeColor="text1"/>
          <w:sz w:val="24"/>
          <w:szCs w:val="24"/>
        </w:rPr>
        <w:t>Ongwen’s</w:t>
      </w:r>
      <w:r w:rsidR="00B00178" w:rsidRPr="00DE76AA">
        <w:rPr>
          <w:color w:val="000000" w:themeColor="text1"/>
          <w:sz w:val="24"/>
          <w:szCs w:val="24"/>
        </w:rPr>
        <w:t xml:space="preserve"> </w:t>
      </w:r>
      <w:r w:rsidR="00947044" w:rsidRPr="00DE76AA">
        <w:rPr>
          <w:color w:val="000000" w:themeColor="text1"/>
          <w:sz w:val="24"/>
          <w:szCs w:val="24"/>
        </w:rPr>
        <w:t>d</w:t>
      </w:r>
      <w:r w:rsidR="00B00178" w:rsidRPr="00DE76AA">
        <w:rPr>
          <w:color w:val="000000" w:themeColor="text1"/>
          <w:sz w:val="24"/>
          <w:szCs w:val="24"/>
        </w:rPr>
        <w:t>efence raised two grounds for excluding his criminal responsibility</w:t>
      </w:r>
      <w:r w:rsidR="00E40EC8" w:rsidRPr="00DE76AA">
        <w:rPr>
          <w:color w:val="000000" w:themeColor="text1"/>
          <w:sz w:val="24"/>
          <w:szCs w:val="24"/>
        </w:rPr>
        <w:t xml:space="preserve">. </w:t>
      </w:r>
      <w:r w:rsidR="00FF6ECB" w:rsidRPr="00DE76AA">
        <w:rPr>
          <w:iCs/>
          <w:color w:val="000000" w:themeColor="text1"/>
          <w:sz w:val="24"/>
          <w:szCs w:val="24"/>
        </w:rPr>
        <w:t>The first was</w:t>
      </w:r>
      <w:r w:rsidR="00FF6ECB" w:rsidRPr="00DE76AA">
        <w:rPr>
          <w:i/>
          <w:color w:val="000000" w:themeColor="text1"/>
          <w:sz w:val="24"/>
          <w:szCs w:val="24"/>
        </w:rPr>
        <w:t xml:space="preserve"> </w:t>
      </w:r>
      <w:r w:rsidR="00B00178" w:rsidRPr="00DE76AA">
        <w:rPr>
          <w:color w:val="000000" w:themeColor="text1"/>
          <w:sz w:val="24"/>
          <w:szCs w:val="24"/>
        </w:rPr>
        <w:t xml:space="preserve">that he suffered from mental disease or defect </w:t>
      </w:r>
      <w:r w:rsidR="003A5003" w:rsidRPr="00DE76AA">
        <w:rPr>
          <w:color w:val="000000" w:themeColor="text1"/>
          <w:sz w:val="24"/>
          <w:szCs w:val="24"/>
        </w:rPr>
        <w:t xml:space="preserve">and criminal responsibility was thus excluded </w:t>
      </w:r>
      <w:r w:rsidR="00B00178" w:rsidRPr="00DE76AA">
        <w:rPr>
          <w:color w:val="000000" w:themeColor="text1"/>
          <w:sz w:val="24"/>
          <w:szCs w:val="24"/>
        </w:rPr>
        <w:t>under Article 31</w:t>
      </w:r>
      <w:r w:rsidR="003A5003" w:rsidRPr="00DE76AA">
        <w:rPr>
          <w:color w:val="000000" w:themeColor="text1"/>
          <w:sz w:val="24"/>
          <w:szCs w:val="24"/>
        </w:rPr>
        <w:t>(1)(a)</w:t>
      </w:r>
      <w:r w:rsidR="00B00178" w:rsidRPr="00DE76AA">
        <w:rPr>
          <w:color w:val="000000" w:themeColor="text1"/>
          <w:sz w:val="24"/>
          <w:szCs w:val="24"/>
        </w:rPr>
        <w:t xml:space="preserve"> of the Statute</w:t>
      </w:r>
      <w:r w:rsidR="003A5003" w:rsidRPr="00DE76AA">
        <w:rPr>
          <w:color w:val="000000" w:themeColor="text1"/>
          <w:sz w:val="24"/>
          <w:szCs w:val="24"/>
        </w:rPr>
        <w:t>, which applies when “[t]he person suffers from a mental disease or defect that destroys that person's capacity to appreciate the unlawfulness or nature of his or her conduct, or capacity to control his or her conduct to conform to the requirements of law”</w:t>
      </w:r>
      <w:r w:rsidR="00B00178" w:rsidRPr="00DE76AA">
        <w:rPr>
          <w:color w:val="000000" w:themeColor="text1"/>
          <w:sz w:val="24"/>
          <w:szCs w:val="24"/>
        </w:rPr>
        <w:t>.</w:t>
      </w:r>
      <w:r w:rsidR="002B370B" w:rsidRPr="00DE76AA">
        <w:rPr>
          <w:rStyle w:val="EndnoteReference"/>
          <w:color w:val="000000" w:themeColor="text1"/>
          <w:sz w:val="24"/>
          <w:szCs w:val="24"/>
        </w:rPr>
        <w:endnoteReference w:id="5"/>
      </w:r>
      <w:r w:rsidR="00B00178" w:rsidRPr="00DE76AA">
        <w:rPr>
          <w:color w:val="000000" w:themeColor="text1"/>
          <w:sz w:val="24"/>
          <w:szCs w:val="24"/>
        </w:rPr>
        <w:t xml:space="preserve">  In dismissing this defence, the Chamber was persuaded by expert </w:t>
      </w:r>
      <w:r w:rsidR="00B00178" w:rsidRPr="00DE76AA">
        <w:rPr>
          <w:color w:val="000000" w:themeColor="text1"/>
          <w:sz w:val="24"/>
          <w:szCs w:val="24"/>
        </w:rPr>
        <w:lastRenderedPageBreak/>
        <w:t xml:space="preserve">reports and </w:t>
      </w:r>
      <w:r w:rsidR="00490C03" w:rsidRPr="00DE76AA">
        <w:rPr>
          <w:color w:val="000000" w:themeColor="text1"/>
          <w:sz w:val="24"/>
          <w:szCs w:val="24"/>
        </w:rPr>
        <w:t xml:space="preserve">testimonies, </w:t>
      </w:r>
      <w:r w:rsidR="0004625A" w:rsidRPr="00DE76AA">
        <w:rPr>
          <w:color w:val="000000" w:themeColor="text1"/>
          <w:sz w:val="24"/>
          <w:szCs w:val="24"/>
        </w:rPr>
        <w:t>emphasizing</w:t>
      </w:r>
      <w:r w:rsidR="00490C03" w:rsidRPr="00DE76AA">
        <w:rPr>
          <w:color w:val="000000" w:themeColor="text1"/>
          <w:sz w:val="24"/>
          <w:szCs w:val="24"/>
        </w:rPr>
        <w:t xml:space="preserve"> that </w:t>
      </w:r>
      <w:r w:rsidR="003A5003" w:rsidRPr="00DE76AA">
        <w:rPr>
          <w:color w:val="000000" w:themeColor="text1"/>
          <w:sz w:val="24"/>
          <w:szCs w:val="24"/>
        </w:rPr>
        <w:t xml:space="preserve">Ongwen </w:t>
      </w:r>
      <w:r w:rsidR="00490C03" w:rsidRPr="00DE76AA">
        <w:rPr>
          <w:color w:val="000000" w:themeColor="text1"/>
          <w:sz w:val="24"/>
          <w:szCs w:val="24"/>
        </w:rPr>
        <w:t>was of sound mental capacity during the period under examination.</w:t>
      </w:r>
      <w:r w:rsidR="00490C03" w:rsidRPr="00DE76AA">
        <w:rPr>
          <w:rStyle w:val="EndnoteReference"/>
          <w:color w:val="000000" w:themeColor="text1"/>
          <w:sz w:val="24"/>
          <w:szCs w:val="24"/>
        </w:rPr>
        <w:endnoteReference w:id="6"/>
      </w:r>
      <w:r w:rsidR="00490C03" w:rsidRPr="00DE76AA">
        <w:rPr>
          <w:color w:val="000000" w:themeColor="text1"/>
          <w:sz w:val="24"/>
          <w:szCs w:val="24"/>
        </w:rPr>
        <w:t xml:space="preserve">  </w:t>
      </w:r>
    </w:p>
    <w:p w14:paraId="7A07956B" w14:textId="69B581A8" w:rsidR="00615099" w:rsidRPr="00DE76AA" w:rsidRDefault="00E40EC8"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The second </w:t>
      </w:r>
      <w:r w:rsidR="00947044" w:rsidRPr="00DE76AA">
        <w:rPr>
          <w:color w:val="000000" w:themeColor="text1"/>
          <w:sz w:val="24"/>
          <w:szCs w:val="24"/>
        </w:rPr>
        <w:t>defence</w:t>
      </w:r>
      <w:r w:rsidRPr="00DE76AA">
        <w:rPr>
          <w:color w:val="000000" w:themeColor="text1"/>
          <w:sz w:val="24"/>
          <w:szCs w:val="24"/>
        </w:rPr>
        <w:t xml:space="preserve"> was that Ongwen was acting under</w:t>
      </w:r>
      <w:r w:rsidR="005F5D13" w:rsidRPr="00DE76AA">
        <w:rPr>
          <w:color w:val="000000" w:themeColor="text1"/>
          <w:sz w:val="24"/>
          <w:szCs w:val="24"/>
        </w:rPr>
        <w:t xml:space="preserve"> duress </w:t>
      </w:r>
      <w:r w:rsidR="00947044" w:rsidRPr="00DE76AA">
        <w:rPr>
          <w:color w:val="000000" w:themeColor="text1"/>
          <w:sz w:val="24"/>
          <w:szCs w:val="24"/>
        </w:rPr>
        <w:t>related to</w:t>
      </w:r>
      <w:r w:rsidR="004B015D" w:rsidRPr="00DE76AA">
        <w:rPr>
          <w:color w:val="000000" w:themeColor="text1"/>
          <w:sz w:val="24"/>
          <w:szCs w:val="24"/>
        </w:rPr>
        <w:t xml:space="preserve"> </w:t>
      </w:r>
      <w:r w:rsidRPr="00DE76AA">
        <w:rPr>
          <w:color w:val="000000" w:themeColor="text1"/>
          <w:sz w:val="24"/>
          <w:szCs w:val="24"/>
        </w:rPr>
        <w:t>his status as a victim-turned-perpetrator</w:t>
      </w:r>
      <w:r w:rsidR="003A5003" w:rsidRPr="00DE76AA">
        <w:rPr>
          <w:color w:val="000000" w:themeColor="text1"/>
          <w:sz w:val="24"/>
          <w:szCs w:val="24"/>
        </w:rPr>
        <w:t xml:space="preserve">, and his actions were excluded under Article 31(1)(d), which requires, </w:t>
      </w:r>
      <w:r w:rsidR="003A5003" w:rsidRPr="00DE76AA">
        <w:rPr>
          <w:i/>
          <w:iCs/>
          <w:color w:val="000000" w:themeColor="text1"/>
          <w:sz w:val="24"/>
          <w:szCs w:val="24"/>
        </w:rPr>
        <w:t>inter alia</w:t>
      </w:r>
      <w:r w:rsidR="003A5003" w:rsidRPr="00DE76AA">
        <w:rPr>
          <w:color w:val="000000" w:themeColor="text1"/>
          <w:sz w:val="24"/>
          <w:szCs w:val="24"/>
        </w:rPr>
        <w:t>, that the accused action “has been caused by duress resulting from a threat of imminent death or of continuing or imminent serious bodily harm against that person or another person”.</w:t>
      </w:r>
      <w:r w:rsidR="002B370B" w:rsidRPr="00DE76AA">
        <w:rPr>
          <w:rStyle w:val="EndnoteReference"/>
          <w:color w:val="000000" w:themeColor="text1"/>
          <w:sz w:val="24"/>
          <w:szCs w:val="24"/>
        </w:rPr>
        <w:endnoteReference w:id="7"/>
      </w:r>
      <w:r w:rsidR="003A5003" w:rsidRPr="00DE76AA">
        <w:rPr>
          <w:color w:val="000000" w:themeColor="text1"/>
          <w:sz w:val="24"/>
          <w:szCs w:val="24"/>
        </w:rPr>
        <w:t xml:space="preserve">  </w:t>
      </w:r>
      <w:r w:rsidR="005F5D13" w:rsidRPr="00DE76AA">
        <w:rPr>
          <w:iCs/>
          <w:color w:val="000000" w:themeColor="text1"/>
          <w:sz w:val="24"/>
          <w:szCs w:val="24"/>
        </w:rPr>
        <w:t>Ongwen</w:t>
      </w:r>
      <w:r w:rsidR="005F5D13" w:rsidRPr="00DE76AA">
        <w:rPr>
          <w:color w:val="000000" w:themeColor="text1"/>
          <w:sz w:val="24"/>
          <w:szCs w:val="24"/>
        </w:rPr>
        <w:t xml:space="preserve"> pleaded that he was under a continuing threat of imminent death and serious bodily harm from </w:t>
      </w:r>
      <w:r w:rsidR="005F5D13" w:rsidRPr="00DE76AA">
        <w:rPr>
          <w:iCs/>
          <w:color w:val="000000" w:themeColor="text1"/>
          <w:sz w:val="24"/>
          <w:szCs w:val="24"/>
        </w:rPr>
        <w:t>Kony</w:t>
      </w:r>
      <w:r w:rsidR="005F5D13" w:rsidRPr="00DE76AA">
        <w:rPr>
          <w:color w:val="000000" w:themeColor="text1"/>
          <w:sz w:val="24"/>
          <w:szCs w:val="24"/>
        </w:rPr>
        <w:t xml:space="preserve">. </w:t>
      </w:r>
      <w:r w:rsidR="004B015D" w:rsidRPr="00DE76AA">
        <w:rPr>
          <w:color w:val="000000" w:themeColor="text1"/>
          <w:sz w:val="24"/>
          <w:szCs w:val="24"/>
        </w:rPr>
        <w:t xml:space="preserve">However, </w:t>
      </w:r>
      <w:r w:rsidR="00AC3BC4" w:rsidRPr="00DE76AA">
        <w:rPr>
          <w:color w:val="000000" w:themeColor="text1"/>
          <w:sz w:val="24"/>
          <w:szCs w:val="24"/>
        </w:rPr>
        <w:t xml:space="preserve">in dismissing this defence </w:t>
      </w:r>
      <w:r w:rsidR="004B015D" w:rsidRPr="00DE76AA">
        <w:rPr>
          <w:color w:val="000000" w:themeColor="text1"/>
          <w:sz w:val="24"/>
          <w:szCs w:val="24"/>
        </w:rPr>
        <w:t>t</w:t>
      </w:r>
      <w:r w:rsidR="00615099" w:rsidRPr="00DE76AA">
        <w:rPr>
          <w:color w:val="000000" w:themeColor="text1"/>
          <w:sz w:val="24"/>
          <w:szCs w:val="24"/>
        </w:rPr>
        <w:t>he Chamber found tha</w:t>
      </w:r>
      <w:r w:rsidR="005F5D13" w:rsidRPr="00DE76AA">
        <w:rPr>
          <w:color w:val="000000" w:themeColor="text1"/>
          <w:sz w:val="24"/>
          <w:szCs w:val="24"/>
        </w:rPr>
        <w:t xml:space="preserve">t </w:t>
      </w:r>
      <w:r w:rsidR="004B015D" w:rsidRPr="00DE76AA">
        <w:rPr>
          <w:color w:val="000000" w:themeColor="text1"/>
          <w:sz w:val="24"/>
          <w:szCs w:val="24"/>
        </w:rPr>
        <w:t xml:space="preserve">Ongwen </w:t>
      </w:r>
      <w:r w:rsidR="00615099" w:rsidRPr="00DE76AA">
        <w:rPr>
          <w:color w:val="000000" w:themeColor="text1"/>
          <w:sz w:val="24"/>
          <w:szCs w:val="24"/>
        </w:rPr>
        <w:t xml:space="preserve">was not in a situation of complete subordination </w:t>
      </w:r>
      <w:r w:rsidR="004B015D" w:rsidRPr="00DE76AA">
        <w:rPr>
          <w:color w:val="000000" w:themeColor="text1"/>
          <w:sz w:val="24"/>
          <w:szCs w:val="24"/>
        </w:rPr>
        <w:t>to</w:t>
      </w:r>
      <w:r w:rsidR="00615099" w:rsidRPr="00DE76AA">
        <w:rPr>
          <w:color w:val="000000" w:themeColor="text1"/>
          <w:sz w:val="24"/>
          <w:szCs w:val="24"/>
        </w:rPr>
        <w:t xml:space="preserve"> </w:t>
      </w:r>
      <w:r w:rsidR="00615099" w:rsidRPr="00DE76AA">
        <w:rPr>
          <w:iCs/>
          <w:color w:val="000000" w:themeColor="text1"/>
          <w:sz w:val="24"/>
          <w:szCs w:val="24"/>
        </w:rPr>
        <w:t>Kony</w:t>
      </w:r>
      <w:r w:rsidR="00615099" w:rsidRPr="00DE76AA">
        <w:rPr>
          <w:color w:val="000000" w:themeColor="text1"/>
          <w:sz w:val="24"/>
          <w:szCs w:val="24"/>
        </w:rPr>
        <w:t>.</w:t>
      </w:r>
      <w:r w:rsidR="00615099" w:rsidRPr="00DE76AA">
        <w:rPr>
          <w:rStyle w:val="EndnoteReference"/>
          <w:color w:val="000000" w:themeColor="text1"/>
          <w:sz w:val="24"/>
          <w:szCs w:val="24"/>
        </w:rPr>
        <w:endnoteReference w:id="8"/>
      </w:r>
      <w:r w:rsidR="00615099" w:rsidRPr="00DE76AA">
        <w:rPr>
          <w:color w:val="000000" w:themeColor="text1"/>
          <w:sz w:val="24"/>
          <w:szCs w:val="24"/>
        </w:rPr>
        <w:t xml:space="preserve"> </w:t>
      </w:r>
      <w:r w:rsidR="005F5D13" w:rsidRPr="00DE76AA">
        <w:rPr>
          <w:color w:val="000000" w:themeColor="text1"/>
          <w:sz w:val="24"/>
          <w:szCs w:val="24"/>
        </w:rPr>
        <w:t xml:space="preserve"> The Chamber</w:t>
      </w:r>
      <w:r w:rsidR="00947044" w:rsidRPr="00DE76AA">
        <w:rPr>
          <w:color w:val="000000" w:themeColor="text1"/>
          <w:sz w:val="24"/>
          <w:szCs w:val="24"/>
        </w:rPr>
        <w:t xml:space="preserve"> also recognized</w:t>
      </w:r>
      <w:r w:rsidR="005F5D13" w:rsidRPr="00DE76AA">
        <w:rPr>
          <w:color w:val="000000" w:themeColor="text1"/>
          <w:sz w:val="24"/>
          <w:szCs w:val="24"/>
        </w:rPr>
        <w:t xml:space="preserve"> </w:t>
      </w:r>
      <w:r w:rsidR="004B015D" w:rsidRPr="00DE76AA">
        <w:rPr>
          <w:color w:val="000000" w:themeColor="text1"/>
          <w:sz w:val="24"/>
          <w:szCs w:val="24"/>
        </w:rPr>
        <w:t xml:space="preserve">Ongwen’s </w:t>
      </w:r>
      <w:r w:rsidR="005F5D13" w:rsidRPr="00DE76AA">
        <w:rPr>
          <w:color w:val="000000" w:themeColor="text1"/>
          <w:sz w:val="24"/>
          <w:szCs w:val="24"/>
        </w:rPr>
        <w:t>status in the LRA hierarchy and the fact that he had a possibility of leaving the LRA.</w:t>
      </w:r>
      <w:r w:rsidR="005F5D13" w:rsidRPr="00DE76AA">
        <w:rPr>
          <w:rStyle w:val="EndnoteReference"/>
          <w:color w:val="000000" w:themeColor="text1"/>
          <w:sz w:val="24"/>
          <w:szCs w:val="24"/>
        </w:rPr>
        <w:endnoteReference w:id="9"/>
      </w:r>
      <w:r w:rsidR="005F5D13" w:rsidRPr="00DE76AA">
        <w:rPr>
          <w:color w:val="000000" w:themeColor="text1"/>
          <w:sz w:val="24"/>
          <w:szCs w:val="24"/>
        </w:rPr>
        <w:t xml:space="preserve"> </w:t>
      </w:r>
    </w:p>
    <w:p w14:paraId="0FFC1313" w14:textId="3387776F" w:rsidR="002B3A86" w:rsidRPr="00DE76AA" w:rsidRDefault="00070656" w:rsidP="00F53616">
      <w:pPr>
        <w:tabs>
          <w:tab w:val="left" w:pos="2090"/>
        </w:tabs>
        <w:spacing w:line="276" w:lineRule="auto"/>
        <w:jc w:val="both"/>
        <w:rPr>
          <w:color w:val="000000" w:themeColor="text1"/>
          <w:sz w:val="24"/>
          <w:szCs w:val="24"/>
        </w:rPr>
      </w:pPr>
      <w:r w:rsidRPr="00DE76AA">
        <w:rPr>
          <w:color w:val="000000" w:themeColor="text1"/>
          <w:sz w:val="24"/>
          <w:szCs w:val="24"/>
        </w:rPr>
        <w:t>Additionally, Ongwen’s d</w:t>
      </w:r>
      <w:r w:rsidR="002B3A86" w:rsidRPr="00DE76AA">
        <w:rPr>
          <w:color w:val="000000" w:themeColor="text1"/>
          <w:sz w:val="24"/>
          <w:szCs w:val="24"/>
        </w:rPr>
        <w:t xml:space="preserve">efence </w:t>
      </w:r>
      <w:r w:rsidRPr="00DE76AA">
        <w:rPr>
          <w:color w:val="000000" w:themeColor="text1"/>
          <w:sz w:val="24"/>
          <w:szCs w:val="24"/>
        </w:rPr>
        <w:t xml:space="preserve">made “some legally unspecified submissions” not formulated as a defence </w:t>
      </w:r>
      <w:r w:rsidR="002B3A86" w:rsidRPr="00DE76AA">
        <w:rPr>
          <w:color w:val="000000" w:themeColor="text1"/>
          <w:sz w:val="24"/>
          <w:szCs w:val="24"/>
        </w:rPr>
        <w:t>tha</w:t>
      </w:r>
      <w:r w:rsidR="0004625A" w:rsidRPr="00DE76AA">
        <w:rPr>
          <w:color w:val="000000" w:themeColor="text1"/>
          <w:sz w:val="24"/>
          <w:szCs w:val="24"/>
        </w:rPr>
        <w:t xml:space="preserve">t he </w:t>
      </w:r>
      <w:r w:rsidR="002B3A86" w:rsidRPr="00DE76AA">
        <w:rPr>
          <w:color w:val="000000" w:themeColor="text1"/>
          <w:sz w:val="24"/>
          <w:szCs w:val="24"/>
        </w:rPr>
        <w:t>was himself a victim on account of his abduction at a young age.</w:t>
      </w:r>
      <w:r w:rsidR="002B370B" w:rsidRPr="00DE76AA">
        <w:rPr>
          <w:rStyle w:val="EndnoteReference"/>
          <w:color w:val="000000" w:themeColor="text1"/>
          <w:sz w:val="24"/>
          <w:szCs w:val="24"/>
        </w:rPr>
        <w:endnoteReference w:id="10"/>
      </w:r>
      <w:r w:rsidR="002B3A86" w:rsidRPr="00DE76AA">
        <w:rPr>
          <w:color w:val="000000" w:themeColor="text1"/>
          <w:sz w:val="24"/>
          <w:szCs w:val="24"/>
        </w:rPr>
        <w:t xml:space="preserve"> However, his experience in the LRA had no impact on the Chamber’s </w:t>
      </w:r>
      <w:r w:rsidR="00E91C6D" w:rsidRPr="00DE76AA">
        <w:rPr>
          <w:color w:val="000000" w:themeColor="text1"/>
          <w:sz w:val="24"/>
          <w:szCs w:val="24"/>
        </w:rPr>
        <w:t>judgment</w:t>
      </w:r>
      <w:r w:rsidR="002B3A86" w:rsidRPr="00DE76AA">
        <w:rPr>
          <w:color w:val="000000" w:themeColor="text1"/>
          <w:sz w:val="24"/>
          <w:szCs w:val="24"/>
        </w:rPr>
        <w:t xml:space="preserve">  </w:t>
      </w:r>
      <w:r w:rsidRPr="00DE76AA">
        <w:rPr>
          <w:color w:val="000000" w:themeColor="text1"/>
          <w:sz w:val="24"/>
          <w:szCs w:val="24"/>
        </w:rPr>
        <w:t>because</w:t>
      </w:r>
      <w:r w:rsidR="002B3A86" w:rsidRPr="00DE76AA">
        <w:rPr>
          <w:color w:val="000000" w:themeColor="text1"/>
          <w:sz w:val="24"/>
          <w:szCs w:val="24"/>
        </w:rPr>
        <w:t xml:space="preserve"> “the fact of having been (or being) a victim of a crime does not constitute, in and of itself, a justification of any sort for the commission of similar or other crimes.”</w:t>
      </w:r>
      <w:r w:rsidR="002B3A86" w:rsidRPr="00DE76AA">
        <w:rPr>
          <w:rStyle w:val="EndnoteReference"/>
          <w:color w:val="000000" w:themeColor="text1"/>
          <w:sz w:val="24"/>
          <w:szCs w:val="24"/>
        </w:rPr>
        <w:endnoteReference w:id="11"/>
      </w:r>
      <w:r w:rsidR="002B3A86" w:rsidRPr="00DE76AA">
        <w:rPr>
          <w:color w:val="000000" w:themeColor="text1"/>
          <w:sz w:val="24"/>
          <w:szCs w:val="24"/>
        </w:rPr>
        <w:t xml:space="preserve"> Additionally, </w:t>
      </w:r>
      <w:r w:rsidR="002B3A86" w:rsidRPr="00DE76AA">
        <w:rPr>
          <w:iCs/>
          <w:color w:val="000000" w:themeColor="text1"/>
          <w:sz w:val="24"/>
          <w:szCs w:val="24"/>
        </w:rPr>
        <w:t>Ongwen</w:t>
      </w:r>
      <w:r w:rsidR="002B3A86" w:rsidRPr="00DE76AA">
        <w:rPr>
          <w:color w:val="000000" w:themeColor="text1"/>
          <w:sz w:val="24"/>
          <w:szCs w:val="24"/>
        </w:rPr>
        <w:t xml:space="preserve"> was adjudged for crimes committed during his adulthood. </w:t>
      </w:r>
      <w:r w:rsidR="00B527B7" w:rsidRPr="00DE76AA">
        <w:rPr>
          <w:color w:val="000000" w:themeColor="text1"/>
          <w:sz w:val="24"/>
          <w:szCs w:val="24"/>
        </w:rPr>
        <w:t xml:space="preserve">In sum, the fact that a defendant is a victim himself – which the Chamber acknowledges – doesn’t give him a </w:t>
      </w:r>
      <w:r w:rsidR="0011048E" w:rsidRPr="00DE76AA">
        <w:rPr>
          <w:color w:val="000000" w:themeColor="text1"/>
          <w:sz w:val="24"/>
          <w:szCs w:val="24"/>
        </w:rPr>
        <w:t>right</w:t>
      </w:r>
      <w:r w:rsidR="00B527B7" w:rsidRPr="00DE76AA">
        <w:rPr>
          <w:color w:val="000000" w:themeColor="text1"/>
          <w:sz w:val="24"/>
          <w:szCs w:val="24"/>
        </w:rPr>
        <w:t xml:space="preserve"> to perpetrate crimes.  </w:t>
      </w:r>
    </w:p>
    <w:p w14:paraId="129DA05C" w14:textId="3E021A4B" w:rsidR="00D51117" w:rsidRPr="00DE76AA" w:rsidRDefault="00F55274" w:rsidP="00F53616">
      <w:pPr>
        <w:tabs>
          <w:tab w:val="left" w:pos="2090"/>
        </w:tabs>
        <w:spacing w:line="276" w:lineRule="auto"/>
        <w:jc w:val="both"/>
        <w:rPr>
          <w:color w:val="000000" w:themeColor="text1"/>
          <w:sz w:val="24"/>
          <w:szCs w:val="24"/>
        </w:rPr>
      </w:pPr>
      <w:r w:rsidRPr="00DE76AA">
        <w:rPr>
          <w:color w:val="000000" w:themeColor="text1"/>
          <w:sz w:val="24"/>
          <w:szCs w:val="24"/>
        </w:rPr>
        <w:t>W</w:t>
      </w:r>
      <w:r w:rsidR="00CE282C" w:rsidRPr="00DE76AA">
        <w:rPr>
          <w:color w:val="000000" w:themeColor="text1"/>
          <w:sz w:val="24"/>
          <w:szCs w:val="24"/>
        </w:rPr>
        <w:t>ithin the context of the attack</w:t>
      </w:r>
      <w:r w:rsidRPr="00DE76AA">
        <w:rPr>
          <w:color w:val="000000" w:themeColor="text1"/>
          <w:sz w:val="24"/>
          <w:szCs w:val="24"/>
        </w:rPr>
        <w:t>s</w:t>
      </w:r>
      <w:r w:rsidR="00CE282C" w:rsidRPr="00DE76AA">
        <w:rPr>
          <w:color w:val="000000" w:themeColor="text1"/>
          <w:sz w:val="24"/>
          <w:szCs w:val="24"/>
        </w:rPr>
        <w:t xml:space="preserve"> carried out by the LRA on the </w:t>
      </w:r>
      <w:r w:rsidRPr="00DE76AA">
        <w:rPr>
          <w:color w:val="000000" w:themeColor="text1"/>
          <w:sz w:val="24"/>
          <w:szCs w:val="24"/>
        </w:rPr>
        <w:t xml:space="preserve">four IDP camps, the Chamber convicted </w:t>
      </w:r>
      <w:r w:rsidRPr="00DE76AA">
        <w:rPr>
          <w:iCs/>
          <w:color w:val="000000" w:themeColor="text1"/>
          <w:sz w:val="24"/>
          <w:szCs w:val="24"/>
        </w:rPr>
        <w:t>Ongwen</w:t>
      </w:r>
      <w:r w:rsidRPr="00DE76AA">
        <w:rPr>
          <w:color w:val="000000" w:themeColor="text1"/>
          <w:sz w:val="24"/>
          <w:szCs w:val="24"/>
        </w:rPr>
        <w:t xml:space="preserve"> of the following crimes: (i) attack against the civilian population</w:t>
      </w:r>
      <w:r w:rsidR="00AF3B2B" w:rsidRPr="00DE76AA">
        <w:rPr>
          <w:color w:val="000000" w:themeColor="text1"/>
          <w:sz w:val="24"/>
          <w:szCs w:val="24"/>
        </w:rPr>
        <w:t xml:space="preserve">; (ii) </w:t>
      </w:r>
      <w:r w:rsidRPr="00DE76AA">
        <w:rPr>
          <w:color w:val="000000" w:themeColor="text1"/>
          <w:sz w:val="24"/>
          <w:szCs w:val="24"/>
        </w:rPr>
        <w:t>murder as a crime against humanity and war crime</w:t>
      </w:r>
      <w:r w:rsidR="00AF3B2B" w:rsidRPr="00DE76AA">
        <w:rPr>
          <w:color w:val="000000" w:themeColor="text1"/>
          <w:sz w:val="24"/>
          <w:szCs w:val="24"/>
        </w:rPr>
        <w:t xml:space="preserve">; (iii) </w:t>
      </w:r>
      <w:r w:rsidRPr="00DE76AA">
        <w:rPr>
          <w:color w:val="000000" w:themeColor="text1"/>
          <w:sz w:val="24"/>
          <w:szCs w:val="24"/>
        </w:rPr>
        <w:t>attempted murder as a crime against humanity and war crime</w:t>
      </w:r>
      <w:r w:rsidR="00AF3B2B" w:rsidRPr="00DE76AA">
        <w:rPr>
          <w:color w:val="000000" w:themeColor="text1"/>
          <w:sz w:val="24"/>
          <w:szCs w:val="24"/>
        </w:rPr>
        <w:t xml:space="preserve">; (iv) </w:t>
      </w:r>
      <w:r w:rsidRPr="00DE76AA">
        <w:rPr>
          <w:color w:val="000000" w:themeColor="text1"/>
          <w:sz w:val="24"/>
          <w:szCs w:val="24"/>
        </w:rPr>
        <w:t>torture as a crime against humanity and war crime</w:t>
      </w:r>
      <w:r w:rsidR="00AF3B2B" w:rsidRPr="00DE76AA">
        <w:rPr>
          <w:color w:val="000000" w:themeColor="text1"/>
          <w:sz w:val="24"/>
          <w:szCs w:val="24"/>
        </w:rPr>
        <w:t xml:space="preserve">; (v) </w:t>
      </w:r>
      <w:r w:rsidRPr="00DE76AA">
        <w:rPr>
          <w:color w:val="000000" w:themeColor="text1"/>
          <w:sz w:val="24"/>
          <w:szCs w:val="24"/>
        </w:rPr>
        <w:t>enslavement as a crime against humanity</w:t>
      </w:r>
      <w:r w:rsidR="00AF3B2B" w:rsidRPr="00DE76AA">
        <w:rPr>
          <w:color w:val="000000" w:themeColor="text1"/>
          <w:sz w:val="24"/>
          <w:szCs w:val="24"/>
        </w:rPr>
        <w:t xml:space="preserve">; (vi) </w:t>
      </w:r>
      <w:r w:rsidRPr="00DE76AA">
        <w:rPr>
          <w:color w:val="000000" w:themeColor="text1"/>
          <w:sz w:val="24"/>
          <w:szCs w:val="24"/>
        </w:rPr>
        <w:t>pillaging as a war crime</w:t>
      </w:r>
      <w:r w:rsidR="00AF3B2B" w:rsidRPr="00DE76AA">
        <w:rPr>
          <w:color w:val="000000" w:themeColor="text1"/>
          <w:sz w:val="24"/>
          <w:szCs w:val="24"/>
        </w:rPr>
        <w:t>; (vii)</w:t>
      </w:r>
      <w:r w:rsidRPr="00DE76AA">
        <w:rPr>
          <w:color w:val="000000" w:themeColor="text1"/>
          <w:sz w:val="24"/>
          <w:szCs w:val="24"/>
        </w:rPr>
        <w:t xml:space="preserve"> destruction of property as a war crime</w:t>
      </w:r>
      <w:r w:rsidR="00AF3B2B" w:rsidRPr="00DE76AA">
        <w:rPr>
          <w:color w:val="000000" w:themeColor="text1"/>
          <w:sz w:val="24"/>
          <w:szCs w:val="24"/>
        </w:rPr>
        <w:t xml:space="preserve">; (viii) </w:t>
      </w:r>
      <w:r w:rsidRPr="00DE76AA">
        <w:rPr>
          <w:color w:val="000000" w:themeColor="text1"/>
          <w:sz w:val="24"/>
          <w:szCs w:val="24"/>
        </w:rPr>
        <w:t>persecution as a crime against humanity</w:t>
      </w:r>
      <w:r w:rsidR="00AF3B2B" w:rsidRPr="00DE76AA">
        <w:rPr>
          <w:color w:val="000000" w:themeColor="text1"/>
          <w:sz w:val="24"/>
          <w:szCs w:val="24"/>
        </w:rPr>
        <w:t xml:space="preserve"> and; (ix) </w:t>
      </w:r>
      <w:r w:rsidRPr="00DE76AA">
        <w:rPr>
          <w:color w:val="000000" w:themeColor="text1"/>
          <w:sz w:val="24"/>
          <w:szCs w:val="24"/>
        </w:rPr>
        <w:t>outrages upon personal dignity as a war crime</w:t>
      </w:r>
      <w:r w:rsidR="00AF3B2B" w:rsidRPr="00DE76AA">
        <w:rPr>
          <w:color w:val="000000" w:themeColor="text1"/>
          <w:sz w:val="24"/>
          <w:szCs w:val="24"/>
        </w:rPr>
        <w:t>.</w:t>
      </w:r>
      <w:r w:rsidR="00AF3B2B" w:rsidRPr="00DE76AA">
        <w:rPr>
          <w:rStyle w:val="EndnoteReference"/>
          <w:color w:val="000000" w:themeColor="text1"/>
          <w:sz w:val="24"/>
          <w:szCs w:val="24"/>
        </w:rPr>
        <w:endnoteReference w:id="12"/>
      </w:r>
    </w:p>
    <w:p w14:paraId="441DB7B9" w14:textId="3AFA3E28" w:rsidR="00CF788F" w:rsidRPr="00DE76AA" w:rsidRDefault="002A60B4" w:rsidP="00F53616">
      <w:pPr>
        <w:tabs>
          <w:tab w:val="left" w:pos="2090"/>
        </w:tabs>
        <w:spacing w:line="276" w:lineRule="auto"/>
        <w:jc w:val="both"/>
        <w:rPr>
          <w:color w:val="000000" w:themeColor="text1"/>
          <w:sz w:val="24"/>
          <w:szCs w:val="24"/>
        </w:rPr>
      </w:pPr>
      <w:r w:rsidRPr="00DE76AA">
        <w:rPr>
          <w:i/>
          <w:color w:val="000000" w:themeColor="text1"/>
          <w:sz w:val="24"/>
          <w:szCs w:val="24"/>
        </w:rPr>
        <w:t>Ongwen</w:t>
      </w:r>
      <w:r w:rsidRPr="00DE76AA">
        <w:rPr>
          <w:color w:val="000000" w:themeColor="text1"/>
          <w:sz w:val="24"/>
          <w:szCs w:val="24"/>
        </w:rPr>
        <w:t xml:space="preserve"> was</w:t>
      </w:r>
      <w:r w:rsidR="00B038D8" w:rsidRPr="00DE76AA">
        <w:rPr>
          <w:color w:val="000000" w:themeColor="text1"/>
          <w:sz w:val="24"/>
          <w:szCs w:val="24"/>
        </w:rPr>
        <w:t xml:space="preserve"> also</w:t>
      </w:r>
      <w:r w:rsidRPr="00DE76AA">
        <w:rPr>
          <w:color w:val="000000" w:themeColor="text1"/>
          <w:sz w:val="24"/>
          <w:szCs w:val="24"/>
        </w:rPr>
        <w:t xml:space="preserve"> convicted of SGBV</w:t>
      </w:r>
      <w:r w:rsidR="00CF788F" w:rsidRPr="00DE76AA">
        <w:rPr>
          <w:color w:val="000000" w:themeColor="text1"/>
          <w:sz w:val="24"/>
          <w:szCs w:val="24"/>
        </w:rPr>
        <w:t xml:space="preserve"> </w:t>
      </w:r>
      <w:r w:rsidRPr="00DE76AA">
        <w:rPr>
          <w:color w:val="000000" w:themeColor="text1"/>
          <w:sz w:val="24"/>
          <w:szCs w:val="24"/>
        </w:rPr>
        <w:t xml:space="preserve">crimes directly perpetrated by him against seven women. These </w:t>
      </w:r>
      <w:r w:rsidR="0004625A" w:rsidRPr="00DE76AA">
        <w:rPr>
          <w:color w:val="000000" w:themeColor="text1"/>
          <w:sz w:val="24"/>
          <w:szCs w:val="24"/>
        </w:rPr>
        <w:t>were:</w:t>
      </w:r>
      <w:r w:rsidRPr="00DE76AA">
        <w:rPr>
          <w:color w:val="000000" w:themeColor="text1"/>
          <w:sz w:val="24"/>
          <w:szCs w:val="24"/>
        </w:rPr>
        <w:t xml:space="preserve"> (i) r</w:t>
      </w:r>
      <w:r w:rsidR="00030686" w:rsidRPr="00DE76AA">
        <w:rPr>
          <w:color w:val="000000" w:themeColor="text1"/>
          <w:sz w:val="24"/>
          <w:szCs w:val="24"/>
        </w:rPr>
        <w:t>ape as a crime against humanity and war crime</w:t>
      </w:r>
      <w:r w:rsidRPr="00DE76AA">
        <w:rPr>
          <w:color w:val="000000" w:themeColor="text1"/>
          <w:sz w:val="24"/>
          <w:szCs w:val="24"/>
        </w:rPr>
        <w:t xml:space="preserve">; </w:t>
      </w:r>
      <w:r w:rsidR="00CF788F" w:rsidRPr="00DE76AA">
        <w:rPr>
          <w:color w:val="000000" w:themeColor="text1"/>
          <w:sz w:val="24"/>
          <w:szCs w:val="24"/>
        </w:rPr>
        <w:t>(ii) enslavement as a crime against humanity;(iii) outrages upon personal dignity</w:t>
      </w:r>
      <w:r w:rsidR="00B038D8" w:rsidRPr="00DE76AA">
        <w:rPr>
          <w:color w:val="000000" w:themeColor="text1"/>
          <w:sz w:val="24"/>
          <w:szCs w:val="24"/>
        </w:rPr>
        <w:t>;</w:t>
      </w:r>
      <w:r w:rsidR="00CF788F" w:rsidRPr="00DE76AA">
        <w:rPr>
          <w:color w:val="000000" w:themeColor="text1"/>
          <w:sz w:val="24"/>
          <w:szCs w:val="24"/>
        </w:rPr>
        <w:t xml:space="preserve"> and </w:t>
      </w:r>
      <w:r w:rsidRPr="00DE76AA">
        <w:rPr>
          <w:color w:val="000000" w:themeColor="text1"/>
          <w:sz w:val="24"/>
          <w:szCs w:val="24"/>
        </w:rPr>
        <w:t>(i</w:t>
      </w:r>
      <w:r w:rsidR="00B038D8" w:rsidRPr="00DE76AA">
        <w:rPr>
          <w:color w:val="000000" w:themeColor="text1"/>
          <w:sz w:val="24"/>
          <w:szCs w:val="24"/>
        </w:rPr>
        <w:t>v</w:t>
      </w:r>
      <w:r w:rsidRPr="00DE76AA">
        <w:rPr>
          <w:color w:val="000000" w:themeColor="text1"/>
          <w:sz w:val="24"/>
          <w:szCs w:val="24"/>
        </w:rPr>
        <w:t>)</w:t>
      </w:r>
      <w:r w:rsidR="00B038D8" w:rsidRPr="00DE76AA">
        <w:rPr>
          <w:color w:val="000000" w:themeColor="text1"/>
          <w:sz w:val="24"/>
          <w:szCs w:val="24"/>
        </w:rPr>
        <w:t xml:space="preserve"> </w:t>
      </w:r>
      <w:r w:rsidR="00030686" w:rsidRPr="00DE76AA">
        <w:rPr>
          <w:color w:val="000000" w:themeColor="text1"/>
          <w:sz w:val="24"/>
          <w:szCs w:val="24"/>
        </w:rPr>
        <w:t>sexual slavery as a crime against humanity and war crime</w:t>
      </w:r>
      <w:r w:rsidR="00CF788F" w:rsidRPr="00DE76AA">
        <w:rPr>
          <w:color w:val="000000" w:themeColor="text1"/>
          <w:sz w:val="24"/>
          <w:szCs w:val="24"/>
        </w:rPr>
        <w:t>. T</w:t>
      </w:r>
      <w:r w:rsidR="00787812" w:rsidRPr="00DE76AA">
        <w:rPr>
          <w:color w:val="000000" w:themeColor="text1"/>
          <w:sz w:val="24"/>
          <w:szCs w:val="24"/>
        </w:rPr>
        <w:t xml:space="preserve">he latter </w:t>
      </w:r>
      <w:r w:rsidR="00CF788F" w:rsidRPr="00DE76AA">
        <w:rPr>
          <w:color w:val="000000" w:themeColor="text1"/>
          <w:sz w:val="24"/>
          <w:szCs w:val="24"/>
        </w:rPr>
        <w:t xml:space="preserve">was premised on the fact that he </w:t>
      </w:r>
      <w:r w:rsidR="00552170" w:rsidRPr="00DE76AA">
        <w:rPr>
          <w:color w:val="000000" w:themeColor="text1"/>
          <w:sz w:val="24"/>
          <w:szCs w:val="24"/>
        </w:rPr>
        <w:t xml:space="preserve">exercised </w:t>
      </w:r>
      <w:r w:rsidR="006779D1" w:rsidRPr="00DE76AA">
        <w:rPr>
          <w:color w:val="000000" w:themeColor="text1"/>
          <w:sz w:val="24"/>
          <w:szCs w:val="24"/>
        </w:rPr>
        <w:t>“</w:t>
      </w:r>
      <w:r w:rsidR="00552170" w:rsidRPr="00DE76AA">
        <w:rPr>
          <w:color w:val="000000" w:themeColor="text1"/>
          <w:sz w:val="24"/>
          <w:szCs w:val="24"/>
        </w:rPr>
        <w:t xml:space="preserve">powers </w:t>
      </w:r>
      <w:r w:rsidR="006779D1" w:rsidRPr="00DE76AA">
        <w:rPr>
          <w:color w:val="000000" w:themeColor="text1"/>
          <w:sz w:val="24"/>
          <w:szCs w:val="24"/>
        </w:rPr>
        <w:t xml:space="preserve">attaching </w:t>
      </w:r>
      <w:r w:rsidR="00552170" w:rsidRPr="00DE76AA">
        <w:rPr>
          <w:color w:val="000000" w:themeColor="text1"/>
          <w:sz w:val="24"/>
          <w:szCs w:val="24"/>
        </w:rPr>
        <w:t>to the right of ownership</w:t>
      </w:r>
      <w:r w:rsidR="006779D1" w:rsidRPr="00DE76AA">
        <w:rPr>
          <w:color w:val="000000" w:themeColor="text1"/>
          <w:sz w:val="24"/>
          <w:szCs w:val="24"/>
        </w:rPr>
        <w:t>”</w:t>
      </w:r>
      <w:r w:rsidR="00552170" w:rsidRPr="00DE76AA">
        <w:rPr>
          <w:color w:val="000000" w:themeColor="text1"/>
          <w:sz w:val="24"/>
          <w:szCs w:val="24"/>
        </w:rPr>
        <w:t xml:space="preserve"> over th</w:t>
      </w:r>
      <w:r w:rsidR="00CF788F" w:rsidRPr="00DE76AA">
        <w:rPr>
          <w:color w:val="000000" w:themeColor="text1"/>
          <w:sz w:val="24"/>
          <w:szCs w:val="24"/>
        </w:rPr>
        <w:t>e</w:t>
      </w:r>
      <w:r w:rsidR="00552170" w:rsidRPr="00DE76AA">
        <w:rPr>
          <w:color w:val="000000" w:themeColor="text1"/>
          <w:sz w:val="24"/>
          <w:szCs w:val="24"/>
        </w:rPr>
        <w:t xml:space="preserve"> women</w:t>
      </w:r>
      <w:r w:rsidR="00CF788F" w:rsidRPr="00DE76AA">
        <w:rPr>
          <w:color w:val="000000" w:themeColor="text1"/>
          <w:sz w:val="24"/>
          <w:szCs w:val="24"/>
        </w:rPr>
        <w:t>.</w:t>
      </w:r>
      <w:r w:rsidR="00CF788F" w:rsidRPr="00DE76AA">
        <w:rPr>
          <w:rStyle w:val="EndnoteReference"/>
          <w:color w:val="000000" w:themeColor="text1"/>
          <w:sz w:val="24"/>
          <w:szCs w:val="24"/>
        </w:rPr>
        <w:endnoteReference w:id="13"/>
      </w:r>
      <w:r w:rsidR="00552170" w:rsidRPr="00DE76AA">
        <w:rPr>
          <w:color w:val="000000" w:themeColor="text1"/>
          <w:sz w:val="24"/>
          <w:szCs w:val="24"/>
        </w:rPr>
        <w:t xml:space="preserve">  </w:t>
      </w:r>
    </w:p>
    <w:p w14:paraId="2C2AEA88" w14:textId="602D52EC" w:rsidR="00807C1B" w:rsidRPr="00DE76AA" w:rsidRDefault="008E512A" w:rsidP="00F53616">
      <w:pPr>
        <w:spacing w:line="276" w:lineRule="auto"/>
        <w:jc w:val="both"/>
        <w:rPr>
          <w:color w:val="000000" w:themeColor="text1"/>
          <w:sz w:val="24"/>
          <w:szCs w:val="24"/>
        </w:rPr>
      </w:pPr>
      <w:r w:rsidRPr="00DE76AA">
        <w:rPr>
          <w:color w:val="000000" w:themeColor="text1"/>
          <w:sz w:val="24"/>
          <w:szCs w:val="24"/>
        </w:rPr>
        <w:t>However, t</w:t>
      </w:r>
      <w:r w:rsidR="00CF788F" w:rsidRPr="00DE76AA">
        <w:rPr>
          <w:color w:val="000000" w:themeColor="text1"/>
          <w:sz w:val="24"/>
          <w:szCs w:val="24"/>
        </w:rPr>
        <w:t>he</w:t>
      </w:r>
      <w:r w:rsidR="00B038D8" w:rsidRPr="00DE76AA">
        <w:rPr>
          <w:color w:val="000000" w:themeColor="text1"/>
          <w:sz w:val="24"/>
          <w:szCs w:val="24"/>
        </w:rPr>
        <w:t xml:space="preserve"> most</w:t>
      </w:r>
      <w:r w:rsidR="00CF788F" w:rsidRPr="00DE76AA">
        <w:rPr>
          <w:color w:val="000000" w:themeColor="text1"/>
          <w:sz w:val="24"/>
          <w:szCs w:val="24"/>
        </w:rPr>
        <w:t xml:space="preserve"> </w:t>
      </w:r>
      <w:r w:rsidR="00934396" w:rsidRPr="00DE76AA">
        <w:rPr>
          <w:color w:val="000000" w:themeColor="text1"/>
          <w:sz w:val="24"/>
          <w:szCs w:val="24"/>
        </w:rPr>
        <w:t xml:space="preserve">noteworthy </w:t>
      </w:r>
      <w:r w:rsidR="00B038D8" w:rsidRPr="00DE76AA">
        <w:rPr>
          <w:color w:val="000000" w:themeColor="text1"/>
          <w:sz w:val="24"/>
          <w:szCs w:val="24"/>
        </w:rPr>
        <w:t xml:space="preserve">parts of the decision </w:t>
      </w:r>
      <w:r w:rsidRPr="00DE76AA">
        <w:rPr>
          <w:color w:val="000000" w:themeColor="text1"/>
          <w:sz w:val="24"/>
          <w:szCs w:val="24"/>
        </w:rPr>
        <w:t>relate to</w:t>
      </w:r>
      <w:r w:rsidR="00552170" w:rsidRPr="00DE76AA">
        <w:rPr>
          <w:color w:val="000000" w:themeColor="text1"/>
          <w:sz w:val="24"/>
          <w:szCs w:val="24"/>
        </w:rPr>
        <w:t xml:space="preserve"> </w:t>
      </w:r>
      <w:r w:rsidR="00B945EA" w:rsidRPr="00DE76AA">
        <w:rPr>
          <w:color w:val="000000" w:themeColor="text1"/>
          <w:sz w:val="24"/>
          <w:szCs w:val="24"/>
        </w:rPr>
        <w:t xml:space="preserve">the </w:t>
      </w:r>
      <w:r w:rsidRPr="00DE76AA">
        <w:rPr>
          <w:color w:val="000000" w:themeColor="text1"/>
          <w:sz w:val="24"/>
          <w:szCs w:val="24"/>
        </w:rPr>
        <w:t xml:space="preserve">crimes of </w:t>
      </w:r>
      <w:r w:rsidR="00552170" w:rsidRPr="00DE76AA">
        <w:rPr>
          <w:color w:val="000000" w:themeColor="text1"/>
          <w:sz w:val="24"/>
          <w:szCs w:val="24"/>
        </w:rPr>
        <w:t xml:space="preserve">forced </w:t>
      </w:r>
      <w:r w:rsidR="00CF788F" w:rsidRPr="00DE76AA">
        <w:rPr>
          <w:color w:val="000000" w:themeColor="text1"/>
          <w:sz w:val="24"/>
          <w:szCs w:val="24"/>
        </w:rPr>
        <w:t xml:space="preserve">marriage and forced </w:t>
      </w:r>
      <w:r w:rsidR="00552170" w:rsidRPr="00DE76AA">
        <w:rPr>
          <w:color w:val="000000" w:themeColor="text1"/>
          <w:sz w:val="24"/>
          <w:szCs w:val="24"/>
        </w:rPr>
        <w:t>pregnancy</w:t>
      </w:r>
      <w:r w:rsidR="00066991" w:rsidRPr="00DE76AA">
        <w:rPr>
          <w:color w:val="000000" w:themeColor="text1"/>
          <w:sz w:val="24"/>
          <w:szCs w:val="24"/>
        </w:rPr>
        <w:t xml:space="preserve">.  Forced marriage </w:t>
      </w:r>
      <w:r w:rsidR="00CC5717" w:rsidRPr="00DE76AA">
        <w:rPr>
          <w:color w:val="000000" w:themeColor="text1"/>
          <w:sz w:val="24"/>
          <w:szCs w:val="24"/>
        </w:rPr>
        <w:t>is</w:t>
      </w:r>
      <w:r w:rsidR="00B945EA" w:rsidRPr="00DE76AA">
        <w:rPr>
          <w:color w:val="000000" w:themeColor="text1"/>
          <w:sz w:val="24"/>
          <w:szCs w:val="24"/>
        </w:rPr>
        <w:t xml:space="preserve"> not explicitly set out in the Rome Statute</w:t>
      </w:r>
      <w:r w:rsidR="00533F33" w:rsidRPr="00DE76AA">
        <w:rPr>
          <w:color w:val="000000" w:themeColor="text1"/>
          <w:sz w:val="24"/>
          <w:szCs w:val="24"/>
        </w:rPr>
        <w:t>, and t</w:t>
      </w:r>
      <w:r w:rsidR="002178B5" w:rsidRPr="00DE76AA">
        <w:rPr>
          <w:color w:val="000000" w:themeColor="text1"/>
          <w:sz w:val="24"/>
          <w:szCs w:val="24"/>
        </w:rPr>
        <w:t>he Court rejected the notion</w:t>
      </w:r>
      <w:r w:rsidR="001F2C63" w:rsidRPr="00DE76AA">
        <w:rPr>
          <w:color w:val="000000" w:themeColor="text1"/>
          <w:sz w:val="24"/>
          <w:szCs w:val="24"/>
        </w:rPr>
        <w:t xml:space="preserve"> that forced marriage is subsumed by the crime of </w:t>
      </w:r>
      <w:r w:rsidR="00330925" w:rsidRPr="00DE76AA">
        <w:rPr>
          <w:color w:val="000000" w:themeColor="text1"/>
          <w:sz w:val="24"/>
          <w:szCs w:val="24"/>
        </w:rPr>
        <w:t>enslavement</w:t>
      </w:r>
      <w:r w:rsidR="002178B5" w:rsidRPr="00DE76AA">
        <w:rPr>
          <w:color w:val="000000" w:themeColor="text1"/>
          <w:sz w:val="24"/>
          <w:szCs w:val="24"/>
        </w:rPr>
        <w:t>, or by the crime</w:t>
      </w:r>
      <w:r w:rsidR="00533F33" w:rsidRPr="00DE76AA">
        <w:rPr>
          <w:color w:val="000000" w:themeColor="text1"/>
          <w:sz w:val="24"/>
          <w:szCs w:val="24"/>
        </w:rPr>
        <w:t>s</w:t>
      </w:r>
      <w:r w:rsidR="002178B5" w:rsidRPr="00DE76AA">
        <w:rPr>
          <w:color w:val="000000" w:themeColor="text1"/>
          <w:sz w:val="24"/>
          <w:szCs w:val="24"/>
        </w:rPr>
        <w:t xml:space="preserve"> of </w:t>
      </w:r>
      <w:r w:rsidR="00533F33" w:rsidRPr="00DE76AA">
        <w:rPr>
          <w:color w:val="000000" w:themeColor="text1"/>
          <w:sz w:val="24"/>
          <w:szCs w:val="24"/>
        </w:rPr>
        <w:t xml:space="preserve">rape or </w:t>
      </w:r>
      <w:r w:rsidR="002178B5" w:rsidRPr="00DE76AA">
        <w:rPr>
          <w:color w:val="000000" w:themeColor="text1"/>
          <w:sz w:val="24"/>
          <w:szCs w:val="24"/>
        </w:rPr>
        <w:t>sexual slavery</w:t>
      </w:r>
      <w:r w:rsidR="001F2C63" w:rsidRPr="00DE76AA">
        <w:rPr>
          <w:color w:val="000000" w:themeColor="text1"/>
          <w:sz w:val="24"/>
          <w:szCs w:val="24"/>
        </w:rPr>
        <w:t>.</w:t>
      </w:r>
      <w:r w:rsidR="001A1CC2" w:rsidRPr="00DE76AA">
        <w:rPr>
          <w:rStyle w:val="EndnoteReference"/>
          <w:color w:val="000000" w:themeColor="text1"/>
          <w:sz w:val="24"/>
          <w:szCs w:val="24"/>
        </w:rPr>
        <w:endnoteReference w:id="14"/>
      </w:r>
      <w:r w:rsidR="001F2C63" w:rsidRPr="00DE76AA">
        <w:rPr>
          <w:color w:val="000000" w:themeColor="text1"/>
          <w:sz w:val="24"/>
          <w:szCs w:val="24"/>
        </w:rPr>
        <w:t xml:space="preserve"> </w:t>
      </w:r>
      <w:r w:rsidR="00533F33" w:rsidRPr="00DE76AA">
        <w:rPr>
          <w:color w:val="000000" w:themeColor="text1"/>
          <w:sz w:val="24"/>
          <w:szCs w:val="24"/>
        </w:rPr>
        <w:t>I</w:t>
      </w:r>
      <w:r w:rsidR="001F2C63" w:rsidRPr="00DE76AA">
        <w:rPr>
          <w:color w:val="000000" w:themeColor="text1"/>
          <w:sz w:val="24"/>
          <w:szCs w:val="24"/>
        </w:rPr>
        <w:t>n this case, forced marriage was interpreted as an independent crime</w:t>
      </w:r>
      <w:r w:rsidR="00807C1B" w:rsidRPr="00DE76AA">
        <w:rPr>
          <w:color w:val="000000" w:themeColor="text1"/>
          <w:sz w:val="24"/>
          <w:szCs w:val="24"/>
        </w:rPr>
        <w:t xml:space="preserve"> that satisfied the legal elements of “other humane act”</w:t>
      </w:r>
      <w:r w:rsidR="00533F33" w:rsidRPr="00DE76AA">
        <w:rPr>
          <w:color w:val="000000" w:themeColor="text1"/>
          <w:sz w:val="24"/>
          <w:szCs w:val="24"/>
        </w:rPr>
        <w:t xml:space="preserve"> under Article 7(1)(k)</w:t>
      </w:r>
      <w:r w:rsidR="00AB032D" w:rsidRPr="00DE76AA">
        <w:rPr>
          <w:color w:val="000000" w:themeColor="text1"/>
          <w:sz w:val="24"/>
          <w:szCs w:val="24"/>
        </w:rPr>
        <w:t>.</w:t>
      </w:r>
      <w:r w:rsidR="001F2C63" w:rsidRPr="00DE76AA">
        <w:rPr>
          <w:rStyle w:val="EndnoteReference"/>
          <w:color w:val="000000" w:themeColor="text1"/>
          <w:sz w:val="24"/>
          <w:szCs w:val="24"/>
        </w:rPr>
        <w:endnoteReference w:id="15"/>
      </w:r>
      <w:r w:rsidR="00AB032D" w:rsidRPr="00DE76AA">
        <w:rPr>
          <w:color w:val="000000" w:themeColor="text1"/>
          <w:sz w:val="24"/>
          <w:szCs w:val="24"/>
        </w:rPr>
        <w:t xml:space="preserve">  </w:t>
      </w:r>
      <w:r w:rsidR="001F2C63" w:rsidRPr="00DE76AA">
        <w:rPr>
          <w:color w:val="000000" w:themeColor="text1"/>
          <w:sz w:val="24"/>
          <w:szCs w:val="24"/>
        </w:rPr>
        <w:t xml:space="preserve">This represents an evolution in the conceptualization of forced marriage, following the jurisprudence of </w:t>
      </w:r>
      <w:r w:rsidR="00807C1B" w:rsidRPr="00DE76AA">
        <w:rPr>
          <w:color w:val="000000" w:themeColor="text1"/>
          <w:sz w:val="24"/>
          <w:szCs w:val="24"/>
        </w:rPr>
        <w:t xml:space="preserve">other international tribunals, such as </w:t>
      </w:r>
      <w:r w:rsidR="001F2C63" w:rsidRPr="00DE76AA">
        <w:rPr>
          <w:color w:val="000000" w:themeColor="text1"/>
          <w:sz w:val="24"/>
          <w:szCs w:val="24"/>
        </w:rPr>
        <w:t>the Special Court for Sierra Leone (SCSL) Appeals Chamber</w:t>
      </w:r>
      <w:r w:rsidR="006746F9" w:rsidRPr="00DE76AA">
        <w:rPr>
          <w:color w:val="000000" w:themeColor="text1"/>
          <w:sz w:val="24"/>
          <w:szCs w:val="24"/>
        </w:rPr>
        <w:t>, w</w:t>
      </w:r>
      <w:r w:rsidR="0011048E" w:rsidRPr="00DE76AA">
        <w:rPr>
          <w:color w:val="000000" w:themeColor="text1"/>
          <w:sz w:val="24"/>
          <w:szCs w:val="24"/>
        </w:rPr>
        <w:t>h</w:t>
      </w:r>
      <w:r w:rsidR="006746F9" w:rsidRPr="00DE76AA">
        <w:rPr>
          <w:color w:val="000000" w:themeColor="text1"/>
          <w:sz w:val="24"/>
          <w:szCs w:val="24"/>
        </w:rPr>
        <w:t xml:space="preserve">ere forced marriage during armed conflict was defined and </w:t>
      </w:r>
      <w:r w:rsidR="006746F9" w:rsidRPr="00DE76AA">
        <w:rPr>
          <w:color w:val="000000" w:themeColor="text1"/>
          <w:sz w:val="24"/>
          <w:szCs w:val="24"/>
        </w:rPr>
        <w:lastRenderedPageBreak/>
        <w:t>recognized as a crime against humanity.</w:t>
      </w:r>
      <w:r w:rsidR="001F2C63" w:rsidRPr="00DE76AA">
        <w:rPr>
          <w:rStyle w:val="EndnoteReference"/>
          <w:color w:val="000000" w:themeColor="text1"/>
          <w:sz w:val="24"/>
          <w:szCs w:val="24"/>
        </w:rPr>
        <w:endnoteReference w:id="16"/>
      </w:r>
      <w:r w:rsidR="00807C1B" w:rsidRPr="00DE76AA">
        <w:rPr>
          <w:color w:val="000000" w:themeColor="text1"/>
          <w:sz w:val="24"/>
          <w:szCs w:val="24"/>
        </w:rPr>
        <w:t xml:space="preserve">  </w:t>
      </w:r>
      <w:r w:rsidR="00807C1B" w:rsidRPr="00DE76AA">
        <w:rPr>
          <w:color w:val="000000" w:themeColor="text1"/>
          <w:sz w:val="24"/>
          <w:szCs w:val="24"/>
        </w:rPr>
        <w:t>Besides the direct victims of the crime of forced marriage, the Chamber recognised the consequential harm, noting:</w:t>
      </w:r>
    </w:p>
    <w:p w14:paraId="057424D3" w14:textId="77777777" w:rsidR="00807C1B" w:rsidRPr="00DE76AA" w:rsidRDefault="00807C1B" w:rsidP="00F53616">
      <w:pPr>
        <w:spacing w:line="276" w:lineRule="auto"/>
        <w:jc w:val="both"/>
        <w:rPr>
          <w:color w:val="000000" w:themeColor="text1"/>
          <w:sz w:val="24"/>
          <w:szCs w:val="24"/>
        </w:rPr>
      </w:pPr>
      <w:r w:rsidRPr="00DE76AA">
        <w:rPr>
          <w:color w:val="000000" w:themeColor="text1"/>
          <w:sz w:val="24"/>
          <w:szCs w:val="24"/>
        </w:rPr>
        <w:t>“To the extent forced marriage results in the birth of children, this creates even more complex emotional and psychological effects on the victim and their children beyond the obvious physical effects of pregnancy and childbearing.”</w:t>
      </w:r>
      <w:r w:rsidRPr="00DE76AA">
        <w:rPr>
          <w:rStyle w:val="EndnoteReference"/>
          <w:color w:val="000000" w:themeColor="text1"/>
          <w:sz w:val="24"/>
          <w:szCs w:val="24"/>
        </w:rPr>
        <w:endnoteReference w:id="17"/>
      </w:r>
    </w:p>
    <w:p w14:paraId="53B555B8" w14:textId="77777777" w:rsidR="00807C1B" w:rsidRPr="00DE76AA" w:rsidRDefault="00807C1B"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This analysis encapsulates the Chamber’s recognition of vulnerability above </w:t>
      </w:r>
      <w:proofErr w:type="gramStart"/>
      <w:r w:rsidRPr="00DE76AA">
        <w:rPr>
          <w:color w:val="000000" w:themeColor="text1"/>
          <w:sz w:val="24"/>
          <w:szCs w:val="24"/>
        </w:rPr>
        <w:t>and  beyond</w:t>
      </w:r>
      <w:proofErr w:type="gramEnd"/>
      <w:r w:rsidRPr="00DE76AA">
        <w:rPr>
          <w:color w:val="000000" w:themeColor="text1"/>
          <w:sz w:val="24"/>
          <w:szCs w:val="24"/>
        </w:rPr>
        <w:t xml:space="preserve"> the period when the crimes were committed.</w:t>
      </w:r>
    </w:p>
    <w:p w14:paraId="2D9F6BF8" w14:textId="6EA64DFB" w:rsidR="00330925" w:rsidRPr="00DE76AA" w:rsidRDefault="00330925" w:rsidP="00F53616">
      <w:pPr>
        <w:spacing w:line="276" w:lineRule="auto"/>
        <w:jc w:val="both"/>
        <w:rPr>
          <w:color w:val="000000" w:themeColor="text1"/>
          <w:sz w:val="24"/>
          <w:szCs w:val="24"/>
        </w:rPr>
      </w:pPr>
    </w:p>
    <w:p w14:paraId="4B616C54" w14:textId="53A31188" w:rsidR="00BD4120" w:rsidRPr="00DE76AA" w:rsidRDefault="00066991"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Forced pregnancy is set out in </w:t>
      </w:r>
      <w:r w:rsidR="00270A8D" w:rsidRPr="00DE76AA">
        <w:rPr>
          <w:color w:val="000000" w:themeColor="text1"/>
          <w:sz w:val="24"/>
          <w:szCs w:val="24"/>
        </w:rPr>
        <w:t>Article 7(1)(g).</w:t>
      </w:r>
      <w:r w:rsidR="00552170" w:rsidRPr="00DE76AA">
        <w:rPr>
          <w:color w:val="000000" w:themeColor="text1"/>
          <w:sz w:val="24"/>
          <w:szCs w:val="24"/>
        </w:rPr>
        <w:t xml:space="preserve"> </w:t>
      </w:r>
      <w:r w:rsidR="00BD4120" w:rsidRPr="00DE76AA">
        <w:rPr>
          <w:color w:val="000000" w:themeColor="text1"/>
          <w:sz w:val="24"/>
          <w:szCs w:val="24"/>
        </w:rPr>
        <w:t xml:space="preserve">The Chamber acknowledged it was the first time the court had considered the crime of forced pregnancy, noting that, “As with any crime, forced pregnancy must be interpreted in a manner which gives this crime independent meaning from the other sexual and </w:t>
      </w:r>
      <w:proofErr w:type="gramStart"/>
      <w:r w:rsidR="00BD4120" w:rsidRPr="00DE76AA">
        <w:rPr>
          <w:color w:val="000000" w:themeColor="text1"/>
          <w:sz w:val="24"/>
          <w:szCs w:val="24"/>
        </w:rPr>
        <w:t>gender based</w:t>
      </w:r>
      <w:proofErr w:type="gramEnd"/>
      <w:r w:rsidR="00BD4120" w:rsidRPr="00DE76AA">
        <w:rPr>
          <w:color w:val="000000" w:themeColor="text1"/>
          <w:sz w:val="24"/>
          <w:szCs w:val="24"/>
        </w:rPr>
        <w:t xml:space="preserve"> violence crimes in the Statute.”</w:t>
      </w:r>
      <w:r w:rsidR="00BD4120" w:rsidRPr="00DE76AA">
        <w:rPr>
          <w:rStyle w:val="EndnoteReference"/>
          <w:color w:val="000000" w:themeColor="text1"/>
          <w:sz w:val="24"/>
          <w:szCs w:val="24"/>
        </w:rPr>
        <w:endnoteReference w:id="18"/>
      </w:r>
      <w:r w:rsidR="00BD4120" w:rsidRPr="00DE76AA">
        <w:rPr>
          <w:color w:val="000000" w:themeColor="text1"/>
          <w:sz w:val="24"/>
          <w:szCs w:val="24"/>
        </w:rPr>
        <w:t xml:space="preserve"> It was interpreted to mean “the unlawful confinement of a (forcibly made) pregnant woman, with the effect that the woman is deprived of reproductive autonomy.”</w:t>
      </w:r>
      <w:r w:rsidR="00BD4120" w:rsidRPr="00DE76AA">
        <w:rPr>
          <w:rStyle w:val="EndnoteReference"/>
          <w:color w:val="000000" w:themeColor="text1"/>
          <w:sz w:val="24"/>
          <w:szCs w:val="24"/>
        </w:rPr>
        <w:endnoteReference w:id="19"/>
      </w:r>
    </w:p>
    <w:p w14:paraId="71FCA050" w14:textId="5C4F426B" w:rsidR="002A60B4" w:rsidRPr="00DE76AA" w:rsidRDefault="002A60B4" w:rsidP="00F53616">
      <w:pPr>
        <w:tabs>
          <w:tab w:val="left" w:pos="2090"/>
        </w:tabs>
        <w:spacing w:line="276" w:lineRule="auto"/>
        <w:jc w:val="both"/>
        <w:rPr>
          <w:color w:val="000000" w:themeColor="text1"/>
          <w:sz w:val="24"/>
          <w:szCs w:val="24"/>
        </w:rPr>
      </w:pPr>
    </w:p>
    <w:p w14:paraId="2941C5C9" w14:textId="175AE64E" w:rsidR="000D4BC1" w:rsidRPr="00DE76AA" w:rsidRDefault="002A60B4" w:rsidP="00F53616">
      <w:pPr>
        <w:tabs>
          <w:tab w:val="left" w:pos="2090"/>
        </w:tabs>
        <w:spacing w:line="276" w:lineRule="auto"/>
        <w:jc w:val="both"/>
        <w:rPr>
          <w:color w:val="000000" w:themeColor="text1"/>
          <w:sz w:val="24"/>
          <w:szCs w:val="24"/>
        </w:rPr>
      </w:pPr>
      <w:r w:rsidRPr="00DE76AA">
        <w:rPr>
          <w:color w:val="000000" w:themeColor="text1"/>
          <w:sz w:val="24"/>
          <w:szCs w:val="24"/>
        </w:rPr>
        <w:t>Finally,</w:t>
      </w:r>
      <w:r w:rsidR="000D4BC1" w:rsidRPr="00DE76AA">
        <w:rPr>
          <w:color w:val="000000" w:themeColor="text1"/>
          <w:sz w:val="24"/>
          <w:szCs w:val="24"/>
        </w:rPr>
        <w:t xml:space="preserve"> the Chamber convicted </w:t>
      </w:r>
      <w:r w:rsidR="000D4BC1" w:rsidRPr="00DE76AA">
        <w:rPr>
          <w:i/>
          <w:color w:val="000000" w:themeColor="text1"/>
          <w:sz w:val="24"/>
          <w:szCs w:val="24"/>
        </w:rPr>
        <w:t>Ongwen</w:t>
      </w:r>
      <w:r w:rsidR="000D4BC1" w:rsidRPr="00DE76AA">
        <w:rPr>
          <w:color w:val="000000" w:themeColor="text1"/>
          <w:sz w:val="24"/>
          <w:szCs w:val="24"/>
        </w:rPr>
        <w:t xml:space="preserve"> for SGBV crimes not directly perpetrated by </w:t>
      </w:r>
      <w:r w:rsidR="0004625A" w:rsidRPr="00DE76AA">
        <w:rPr>
          <w:color w:val="000000" w:themeColor="text1"/>
          <w:sz w:val="24"/>
          <w:szCs w:val="24"/>
        </w:rPr>
        <w:t>himself</w:t>
      </w:r>
      <w:r w:rsidR="00435E65" w:rsidRPr="00DE76AA">
        <w:rPr>
          <w:color w:val="000000" w:themeColor="text1"/>
          <w:sz w:val="24"/>
          <w:szCs w:val="24"/>
        </w:rPr>
        <w:t>:</w:t>
      </w:r>
      <w:r w:rsidR="000D4BC1" w:rsidRPr="00DE76AA">
        <w:rPr>
          <w:color w:val="000000" w:themeColor="text1"/>
          <w:sz w:val="24"/>
          <w:szCs w:val="24"/>
        </w:rPr>
        <w:t xml:space="preserve"> (i) forced marriage; (ii) torture; (iii) rape; (iv) sexual slavery</w:t>
      </w:r>
      <w:r w:rsidR="00435E65" w:rsidRPr="00DE76AA">
        <w:rPr>
          <w:color w:val="000000" w:themeColor="text1"/>
          <w:sz w:val="24"/>
          <w:szCs w:val="24"/>
        </w:rPr>
        <w:t>;</w:t>
      </w:r>
      <w:r w:rsidR="000D4BC1" w:rsidRPr="00DE76AA">
        <w:rPr>
          <w:color w:val="000000" w:themeColor="text1"/>
          <w:sz w:val="24"/>
          <w:szCs w:val="24"/>
        </w:rPr>
        <w:t xml:space="preserve"> and (v) enslavement. The</w:t>
      </w:r>
      <w:r w:rsidR="00435E65" w:rsidRPr="00DE76AA">
        <w:rPr>
          <w:color w:val="000000" w:themeColor="text1"/>
          <w:sz w:val="24"/>
          <w:szCs w:val="24"/>
        </w:rPr>
        <w:t xml:space="preserve">se convictions were based </w:t>
      </w:r>
      <w:r w:rsidR="000D4BC1" w:rsidRPr="00DE76AA">
        <w:rPr>
          <w:color w:val="000000" w:themeColor="text1"/>
          <w:sz w:val="24"/>
          <w:szCs w:val="24"/>
        </w:rPr>
        <w:t xml:space="preserve">on the existence of an agreement or common plan among </w:t>
      </w:r>
      <w:r w:rsidR="000D4BC1" w:rsidRPr="00DE76AA">
        <w:rPr>
          <w:iCs/>
          <w:color w:val="000000" w:themeColor="text1"/>
          <w:sz w:val="24"/>
          <w:szCs w:val="24"/>
        </w:rPr>
        <w:t xml:space="preserve">Ongwen, Kony </w:t>
      </w:r>
      <w:r w:rsidR="000D4BC1" w:rsidRPr="00DE76AA">
        <w:rPr>
          <w:color w:val="000000" w:themeColor="text1"/>
          <w:sz w:val="24"/>
          <w:szCs w:val="24"/>
        </w:rPr>
        <w:t xml:space="preserve">and the Sinia brigade leadership and </w:t>
      </w:r>
      <w:r w:rsidR="00DF01BA" w:rsidRPr="00DE76AA">
        <w:rPr>
          <w:color w:val="000000" w:themeColor="text1"/>
          <w:sz w:val="24"/>
          <w:szCs w:val="24"/>
        </w:rPr>
        <w:t>Ongwen’s</w:t>
      </w:r>
      <w:r w:rsidR="000D4BC1" w:rsidRPr="00DE76AA">
        <w:rPr>
          <w:color w:val="000000" w:themeColor="text1"/>
          <w:sz w:val="24"/>
          <w:szCs w:val="24"/>
        </w:rPr>
        <w:t xml:space="preserve"> control over the crimes.</w:t>
      </w:r>
      <w:r w:rsidR="000D4BC1" w:rsidRPr="00DE76AA">
        <w:rPr>
          <w:rStyle w:val="EndnoteReference"/>
          <w:color w:val="000000" w:themeColor="text1"/>
          <w:sz w:val="24"/>
          <w:szCs w:val="24"/>
        </w:rPr>
        <w:endnoteReference w:id="20"/>
      </w:r>
      <w:r w:rsidR="000D4BC1" w:rsidRPr="00DE76AA">
        <w:rPr>
          <w:color w:val="000000" w:themeColor="text1"/>
          <w:sz w:val="24"/>
          <w:szCs w:val="24"/>
        </w:rPr>
        <w:t xml:space="preserve">  </w:t>
      </w:r>
    </w:p>
    <w:p w14:paraId="5B4D7939" w14:textId="491EBD09" w:rsidR="009A2FB5" w:rsidRPr="00DE76AA" w:rsidRDefault="007C0FA7" w:rsidP="00F53616">
      <w:pPr>
        <w:spacing w:line="276" w:lineRule="auto"/>
        <w:jc w:val="both"/>
        <w:rPr>
          <w:color w:val="000000" w:themeColor="text1"/>
          <w:sz w:val="24"/>
          <w:szCs w:val="24"/>
          <w:shd w:val="clear" w:color="auto" w:fill="FFFFFF"/>
        </w:rPr>
      </w:pPr>
      <w:r w:rsidRPr="00DE76AA">
        <w:rPr>
          <w:color w:val="000000" w:themeColor="text1"/>
          <w:sz w:val="24"/>
          <w:szCs w:val="24"/>
        </w:rPr>
        <w:t>Ongwen</w:t>
      </w:r>
      <w:r w:rsidR="002B3A86" w:rsidRPr="00DE76AA">
        <w:rPr>
          <w:color w:val="000000" w:themeColor="text1"/>
          <w:sz w:val="24"/>
          <w:szCs w:val="24"/>
        </w:rPr>
        <w:t xml:space="preserve"> was </w:t>
      </w:r>
      <w:r w:rsidRPr="00DE76AA">
        <w:rPr>
          <w:color w:val="000000" w:themeColor="text1"/>
          <w:sz w:val="24"/>
          <w:szCs w:val="24"/>
        </w:rPr>
        <w:t xml:space="preserve">also </w:t>
      </w:r>
      <w:r w:rsidR="002B3A86" w:rsidRPr="00DE76AA">
        <w:rPr>
          <w:color w:val="000000" w:themeColor="text1"/>
          <w:sz w:val="24"/>
          <w:szCs w:val="24"/>
        </w:rPr>
        <w:t>convicted for c</w:t>
      </w:r>
      <w:r w:rsidR="00183217" w:rsidRPr="00DE76AA">
        <w:rPr>
          <w:color w:val="000000" w:themeColor="text1"/>
          <w:sz w:val="24"/>
          <w:szCs w:val="24"/>
        </w:rPr>
        <w:t>onscription and use of children under the age of 15 years and their use in armed hostilities</w:t>
      </w:r>
      <w:r w:rsidR="002B3A86" w:rsidRPr="00DE76AA">
        <w:rPr>
          <w:color w:val="000000" w:themeColor="text1"/>
          <w:sz w:val="24"/>
          <w:szCs w:val="24"/>
        </w:rPr>
        <w:t xml:space="preserve">. </w:t>
      </w:r>
      <w:r w:rsidRPr="00DE76AA">
        <w:rPr>
          <w:color w:val="000000" w:themeColor="text1"/>
          <w:sz w:val="24"/>
          <w:szCs w:val="24"/>
        </w:rPr>
        <w:t>Here, too, t</w:t>
      </w:r>
      <w:r w:rsidR="00183217" w:rsidRPr="00DE76AA">
        <w:rPr>
          <w:color w:val="000000" w:themeColor="text1"/>
          <w:sz w:val="24"/>
          <w:szCs w:val="24"/>
        </w:rPr>
        <w:t xml:space="preserve">he Chamber based his individual criminal responsibility on the existence of an agreement or common plan and </w:t>
      </w:r>
      <w:r w:rsidRPr="00DE76AA">
        <w:rPr>
          <w:color w:val="000000" w:themeColor="text1"/>
          <w:sz w:val="24"/>
          <w:szCs w:val="24"/>
        </w:rPr>
        <w:t xml:space="preserve">Ongwen’s </w:t>
      </w:r>
      <w:r w:rsidR="00183217" w:rsidRPr="00DE76AA">
        <w:rPr>
          <w:color w:val="000000" w:themeColor="text1"/>
          <w:sz w:val="24"/>
          <w:szCs w:val="24"/>
        </w:rPr>
        <w:t>control over the crimes.</w:t>
      </w:r>
      <w:r w:rsidR="002B3A86" w:rsidRPr="00DE76AA">
        <w:rPr>
          <w:rStyle w:val="EndnoteReference"/>
          <w:color w:val="000000" w:themeColor="text1"/>
          <w:sz w:val="24"/>
          <w:szCs w:val="24"/>
        </w:rPr>
        <w:endnoteReference w:id="21"/>
      </w:r>
      <w:r w:rsidR="00183217" w:rsidRPr="00DE76AA">
        <w:rPr>
          <w:color w:val="000000" w:themeColor="text1"/>
          <w:sz w:val="24"/>
          <w:szCs w:val="24"/>
        </w:rPr>
        <w:t xml:space="preserve"> </w:t>
      </w:r>
      <w:r w:rsidR="002B3A86" w:rsidRPr="00DE76AA">
        <w:rPr>
          <w:color w:val="000000" w:themeColor="text1"/>
          <w:sz w:val="24"/>
          <w:szCs w:val="24"/>
        </w:rPr>
        <w:t xml:space="preserve">While his own situation as a former abductee was recognized, </w:t>
      </w:r>
      <w:r w:rsidR="00A65493" w:rsidRPr="00DE76AA">
        <w:rPr>
          <w:color w:val="000000" w:themeColor="text1"/>
          <w:sz w:val="24"/>
          <w:szCs w:val="24"/>
          <w:shd w:val="clear" w:color="auto" w:fill="FFFFFF"/>
        </w:rPr>
        <w:t xml:space="preserve">the Chamber did not </w:t>
      </w:r>
      <w:r w:rsidRPr="00DE76AA">
        <w:rPr>
          <w:color w:val="000000" w:themeColor="text1"/>
          <w:sz w:val="24"/>
          <w:szCs w:val="24"/>
          <w:shd w:val="clear" w:color="auto" w:fill="FFFFFF"/>
        </w:rPr>
        <w:t>examine any</w:t>
      </w:r>
      <w:r w:rsidR="002B3A86" w:rsidRPr="00DE76AA">
        <w:rPr>
          <w:color w:val="000000" w:themeColor="text1"/>
          <w:sz w:val="24"/>
          <w:szCs w:val="24"/>
          <w:shd w:val="clear" w:color="auto" w:fill="FFFFFF"/>
        </w:rPr>
        <w:t xml:space="preserve"> impact it </w:t>
      </w:r>
      <w:r w:rsidRPr="00DE76AA">
        <w:rPr>
          <w:color w:val="000000" w:themeColor="text1"/>
          <w:sz w:val="24"/>
          <w:szCs w:val="24"/>
          <w:shd w:val="clear" w:color="auto" w:fill="FFFFFF"/>
        </w:rPr>
        <w:t xml:space="preserve">may have </w:t>
      </w:r>
      <w:r w:rsidR="002B3A86" w:rsidRPr="00DE76AA">
        <w:rPr>
          <w:color w:val="000000" w:themeColor="text1"/>
          <w:sz w:val="24"/>
          <w:szCs w:val="24"/>
          <w:shd w:val="clear" w:color="auto" w:fill="FFFFFF"/>
        </w:rPr>
        <w:t xml:space="preserve">had on his subsequent criminal activities. </w:t>
      </w:r>
    </w:p>
    <w:p w14:paraId="46306B4E" w14:textId="5F29F606" w:rsidR="009A2FB5" w:rsidRPr="00DE76AA" w:rsidRDefault="00862F8C" w:rsidP="00F53616">
      <w:pPr>
        <w:tabs>
          <w:tab w:val="left" w:pos="2090"/>
          <w:tab w:val="right" w:pos="9026"/>
        </w:tabs>
        <w:spacing w:line="276" w:lineRule="auto"/>
        <w:jc w:val="both"/>
        <w:rPr>
          <w:b/>
          <w:color w:val="000000" w:themeColor="text1"/>
          <w:sz w:val="24"/>
          <w:szCs w:val="24"/>
        </w:rPr>
      </w:pPr>
      <w:r w:rsidRPr="00DE76AA">
        <w:rPr>
          <w:b/>
          <w:color w:val="000000" w:themeColor="text1"/>
          <w:sz w:val="24"/>
          <w:szCs w:val="24"/>
        </w:rPr>
        <w:t>Should the defendant's own victimhood be considered in assessing culpability or penalty?</w:t>
      </w:r>
      <w:r w:rsidR="00F959FA" w:rsidRPr="00DE76AA">
        <w:rPr>
          <w:b/>
          <w:color w:val="000000" w:themeColor="text1"/>
          <w:sz w:val="24"/>
          <w:szCs w:val="24"/>
        </w:rPr>
        <w:tab/>
      </w:r>
    </w:p>
    <w:p w14:paraId="4A9162E1" w14:textId="77C9E96F" w:rsidR="00913A51" w:rsidRPr="00DE76AA" w:rsidRDefault="005357E7"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Throughout the course of </w:t>
      </w:r>
      <w:r w:rsidR="00862F8C" w:rsidRPr="00DE76AA">
        <w:rPr>
          <w:color w:val="000000" w:themeColor="text1"/>
          <w:sz w:val="24"/>
          <w:szCs w:val="24"/>
        </w:rPr>
        <w:t xml:space="preserve">the </w:t>
      </w:r>
      <w:r w:rsidRPr="00DE76AA">
        <w:rPr>
          <w:color w:val="000000" w:themeColor="text1"/>
          <w:sz w:val="24"/>
          <w:szCs w:val="24"/>
        </w:rPr>
        <w:t xml:space="preserve">trial, there </w:t>
      </w:r>
      <w:r w:rsidR="00333B37" w:rsidRPr="00DE76AA">
        <w:rPr>
          <w:color w:val="000000" w:themeColor="text1"/>
          <w:sz w:val="24"/>
          <w:szCs w:val="24"/>
        </w:rPr>
        <w:t>were</w:t>
      </w:r>
      <w:r w:rsidRPr="00DE76AA">
        <w:rPr>
          <w:color w:val="000000" w:themeColor="text1"/>
          <w:sz w:val="24"/>
          <w:szCs w:val="24"/>
        </w:rPr>
        <w:t xml:space="preserve"> mixed </w:t>
      </w:r>
      <w:r w:rsidR="00862F8C" w:rsidRPr="00DE76AA">
        <w:rPr>
          <w:color w:val="000000" w:themeColor="text1"/>
          <w:sz w:val="24"/>
          <w:szCs w:val="24"/>
        </w:rPr>
        <w:t xml:space="preserve">views </w:t>
      </w:r>
      <w:r w:rsidRPr="00DE76AA">
        <w:rPr>
          <w:color w:val="000000" w:themeColor="text1"/>
          <w:sz w:val="24"/>
          <w:szCs w:val="24"/>
        </w:rPr>
        <w:t xml:space="preserve">among the affected communities on whether </w:t>
      </w:r>
      <w:r w:rsidR="00333B37" w:rsidRPr="00DE76AA">
        <w:rPr>
          <w:iCs/>
          <w:color w:val="000000" w:themeColor="text1"/>
          <w:sz w:val="24"/>
          <w:szCs w:val="24"/>
        </w:rPr>
        <w:t>Ongwen</w:t>
      </w:r>
      <w:r w:rsidRPr="00DE76AA">
        <w:rPr>
          <w:color w:val="000000" w:themeColor="text1"/>
          <w:sz w:val="24"/>
          <w:szCs w:val="24"/>
        </w:rPr>
        <w:t xml:space="preserve"> should be penalized owing to his experiences</w:t>
      </w:r>
      <w:r w:rsidR="00862F8C" w:rsidRPr="00DE76AA">
        <w:rPr>
          <w:color w:val="000000" w:themeColor="text1"/>
          <w:sz w:val="24"/>
          <w:szCs w:val="24"/>
        </w:rPr>
        <w:t xml:space="preserve"> as an abducted child soldier</w:t>
      </w:r>
      <w:r w:rsidRPr="00DE76AA">
        <w:rPr>
          <w:color w:val="000000" w:themeColor="text1"/>
          <w:sz w:val="24"/>
          <w:szCs w:val="24"/>
        </w:rPr>
        <w:t>.</w:t>
      </w:r>
      <w:r w:rsidRPr="00DE76AA">
        <w:rPr>
          <w:rStyle w:val="EndnoteReference"/>
          <w:color w:val="000000" w:themeColor="text1"/>
          <w:sz w:val="24"/>
          <w:szCs w:val="24"/>
        </w:rPr>
        <w:endnoteReference w:id="22"/>
      </w:r>
      <w:r w:rsidRPr="00DE76AA">
        <w:rPr>
          <w:color w:val="000000" w:themeColor="text1"/>
          <w:sz w:val="24"/>
          <w:szCs w:val="24"/>
        </w:rPr>
        <w:t xml:space="preserve"> </w:t>
      </w:r>
      <w:bookmarkStart w:id="18" w:name="_Hlk65748576"/>
      <w:r w:rsidR="008649B1" w:rsidRPr="00DE76AA">
        <w:rPr>
          <w:color w:val="000000" w:themeColor="text1"/>
          <w:sz w:val="24"/>
          <w:szCs w:val="24"/>
        </w:rPr>
        <w:t xml:space="preserve"> </w:t>
      </w:r>
      <w:bookmarkEnd w:id="18"/>
    </w:p>
    <w:p w14:paraId="226C49EC" w14:textId="3E4E6EC2" w:rsidR="00D010B2" w:rsidRPr="00DE76AA" w:rsidRDefault="00D010B2" w:rsidP="00F53616">
      <w:pPr>
        <w:tabs>
          <w:tab w:val="left" w:pos="2090"/>
        </w:tabs>
        <w:spacing w:line="276" w:lineRule="auto"/>
        <w:jc w:val="both"/>
        <w:rPr>
          <w:rFonts w:cs="Times New Roman (Body CS)"/>
          <w:color w:val="000000" w:themeColor="text1"/>
          <w:sz w:val="24"/>
          <w:szCs w:val="24"/>
        </w:rPr>
      </w:pPr>
      <w:r w:rsidRPr="00DE76AA">
        <w:rPr>
          <w:rFonts w:cs="Times New Roman (Body CS)"/>
          <w:color w:val="000000" w:themeColor="text1"/>
          <w:sz w:val="24"/>
          <w:szCs w:val="24"/>
        </w:rPr>
        <w:t xml:space="preserve"> Ongwen’s lawyers have announced an intention to appeal against the judgement, </w:t>
      </w:r>
      <w:r w:rsidR="00F32AAF" w:rsidRPr="00DE76AA">
        <w:rPr>
          <w:rFonts w:cs="Times New Roman (Body CS)"/>
          <w:color w:val="000000" w:themeColor="text1"/>
          <w:sz w:val="24"/>
          <w:szCs w:val="24"/>
        </w:rPr>
        <w:t>emphasizing</w:t>
      </w:r>
      <w:r w:rsidRPr="00DE76AA">
        <w:rPr>
          <w:rFonts w:cs="Times New Roman (Body CS)"/>
          <w:color w:val="000000" w:themeColor="text1"/>
          <w:sz w:val="24"/>
          <w:szCs w:val="24"/>
        </w:rPr>
        <w:t xml:space="preserve"> the same defences of duress and mental disability.</w:t>
      </w:r>
      <w:r w:rsidR="00863B8A" w:rsidRPr="00DE76AA">
        <w:rPr>
          <w:rStyle w:val="EndnoteReference"/>
          <w:rFonts w:cs="Times New Roman (Body CS)"/>
          <w:color w:val="000000" w:themeColor="text1"/>
          <w:sz w:val="24"/>
          <w:szCs w:val="24"/>
        </w:rPr>
        <w:endnoteReference w:id="23"/>
      </w:r>
      <w:r w:rsidRPr="00DE76AA">
        <w:rPr>
          <w:rFonts w:cs="Times New Roman (Body CS)"/>
          <w:color w:val="000000" w:themeColor="text1"/>
          <w:sz w:val="24"/>
          <w:szCs w:val="24"/>
        </w:rPr>
        <w:t xml:space="preserve">  </w:t>
      </w:r>
      <w:r w:rsidR="00863B8A" w:rsidRPr="00DE76AA">
        <w:rPr>
          <w:rFonts w:cs="Times New Roman (Body CS)"/>
          <w:color w:val="000000" w:themeColor="text1"/>
          <w:sz w:val="24"/>
          <w:szCs w:val="24"/>
        </w:rPr>
        <w:t xml:space="preserve"> It remains to be seen how the Appeals Chamber will deal with the complex victim-perpetrator binary. </w:t>
      </w:r>
      <w:r w:rsidR="00F959FA" w:rsidRPr="00DE76AA">
        <w:rPr>
          <w:rFonts w:cs="Times New Roman (Body CS)"/>
          <w:color w:val="000000" w:themeColor="text1"/>
          <w:sz w:val="24"/>
          <w:szCs w:val="24"/>
        </w:rPr>
        <w:t xml:space="preserve"> </w:t>
      </w:r>
      <w:proofErr w:type="gramStart"/>
      <w:r w:rsidR="00F959FA" w:rsidRPr="00DE76AA">
        <w:rPr>
          <w:rFonts w:cs="Times New Roman (Body CS)"/>
          <w:color w:val="000000" w:themeColor="text1"/>
          <w:sz w:val="24"/>
          <w:szCs w:val="24"/>
        </w:rPr>
        <w:t>Nontheless,this</w:t>
      </w:r>
      <w:proofErr w:type="gramEnd"/>
      <w:r w:rsidR="00F959FA" w:rsidRPr="00DE76AA">
        <w:rPr>
          <w:rFonts w:cs="Times New Roman (Body CS)"/>
          <w:color w:val="000000" w:themeColor="text1"/>
          <w:sz w:val="24"/>
          <w:szCs w:val="24"/>
        </w:rPr>
        <w:t xml:space="preserve"> triggers some reflections on how the Chamber could have dealt with the defendant’s victim-perpetuator binary. </w:t>
      </w:r>
    </w:p>
    <w:p w14:paraId="468B3FE2" w14:textId="5976FAC4" w:rsidR="00461BB5" w:rsidRPr="00DE76AA" w:rsidRDefault="00333B37"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In considering </w:t>
      </w:r>
      <w:r w:rsidRPr="00DE76AA">
        <w:rPr>
          <w:iCs/>
          <w:color w:val="000000" w:themeColor="text1"/>
          <w:sz w:val="24"/>
          <w:szCs w:val="24"/>
        </w:rPr>
        <w:t>Ongwen’s</w:t>
      </w:r>
      <w:r w:rsidRPr="00DE76AA">
        <w:rPr>
          <w:color w:val="000000" w:themeColor="text1"/>
          <w:sz w:val="24"/>
          <w:szCs w:val="24"/>
        </w:rPr>
        <w:t xml:space="preserve"> culpable conduct as an adult, </w:t>
      </w:r>
      <w:r w:rsidR="00461BB5" w:rsidRPr="00DE76AA">
        <w:rPr>
          <w:color w:val="000000" w:themeColor="text1"/>
          <w:sz w:val="24"/>
          <w:szCs w:val="24"/>
        </w:rPr>
        <w:t xml:space="preserve">the </w:t>
      </w:r>
      <w:r w:rsidR="00992099" w:rsidRPr="00DE76AA">
        <w:rPr>
          <w:color w:val="000000" w:themeColor="text1"/>
          <w:sz w:val="24"/>
          <w:szCs w:val="24"/>
        </w:rPr>
        <w:t>Chamber</w:t>
      </w:r>
      <w:r w:rsidR="00461BB5" w:rsidRPr="00DE76AA">
        <w:rPr>
          <w:color w:val="000000" w:themeColor="text1"/>
          <w:sz w:val="24"/>
          <w:szCs w:val="24"/>
        </w:rPr>
        <w:t xml:space="preserve"> </w:t>
      </w:r>
      <w:r w:rsidR="002C245B" w:rsidRPr="00DE76AA">
        <w:rPr>
          <w:color w:val="000000" w:themeColor="text1"/>
          <w:sz w:val="24"/>
          <w:szCs w:val="24"/>
        </w:rPr>
        <w:t>c</w:t>
      </w:r>
      <w:r w:rsidR="00461BB5" w:rsidRPr="00DE76AA">
        <w:rPr>
          <w:color w:val="000000" w:themeColor="text1"/>
          <w:sz w:val="24"/>
          <w:szCs w:val="24"/>
        </w:rPr>
        <w:t>ould have taken cognisance of</w:t>
      </w:r>
      <w:r w:rsidR="00992099" w:rsidRPr="00DE76AA">
        <w:rPr>
          <w:color w:val="000000" w:themeColor="text1"/>
          <w:sz w:val="24"/>
          <w:szCs w:val="24"/>
        </w:rPr>
        <w:t xml:space="preserve"> the</w:t>
      </w:r>
      <w:r w:rsidR="00461BB5" w:rsidRPr="00DE76AA">
        <w:rPr>
          <w:color w:val="000000" w:themeColor="text1"/>
          <w:sz w:val="24"/>
          <w:szCs w:val="24"/>
        </w:rPr>
        <w:t xml:space="preserve"> </w:t>
      </w:r>
      <w:bookmarkStart w:id="19" w:name="_Hlk64742191"/>
      <w:r w:rsidR="00461BB5" w:rsidRPr="00DE76AA">
        <w:rPr>
          <w:color w:val="000000" w:themeColor="text1"/>
          <w:sz w:val="24"/>
          <w:szCs w:val="24"/>
        </w:rPr>
        <w:t>devastation surrounding child soldiering.</w:t>
      </w:r>
      <w:r w:rsidR="00793524" w:rsidRPr="00DE76AA">
        <w:rPr>
          <w:color w:val="000000" w:themeColor="text1"/>
          <w:sz w:val="24"/>
          <w:szCs w:val="24"/>
        </w:rPr>
        <w:t xml:space="preserve"> </w:t>
      </w:r>
      <w:r w:rsidR="00793524" w:rsidRPr="00DE76AA">
        <w:rPr>
          <w:rFonts w:cs="Times New Roman (Body CS)"/>
          <w:color w:val="000000" w:themeColor="text1"/>
          <w:sz w:val="24"/>
          <w:szCs w:val="24"/>
        </w:rPr>
        <w:t xml:space="preserve">In particular, such experiences enhance the potential for institutionalized </w:t>
      </w:r>
      <w:r w:rsidR="00DB5022" w:rsidRPr="00DE76AA">
        <w:rPr>
          <w:rFonts w:cs="Times New Roman (Body CS)"/>
          <w:color w:val="000000" w:themeColor="text1"/>
          <w:sz w:val="24"/>
          <w:szCs w:val="24"/>
        </w:rPr>
        <w:t>duress, which</w:t>
      </w:r>
      <w:r w:rsidR="00793524" w:rsidRPr="00DE76AA">
        <w:rPr>
          <w:rFonts w:cs="Times New Roman (Body CS)"/>
          <w:color w:val="000000" w:themeColor="text1"/>
          <w:sz w:val="24"/>
          <w:szCs w:val="24"/>
        </w:rPr>
        <w:t xml:space="preserve"> </w:t>
      </w:r>
      <w:r w:rsidR="00DB5022" w:rsidRPr="00DE76AA">
        <w:rPr>
          <w:rFonts w:cs="Times New Roman (Body CS)"/>
          <w:color w:val="000000" w:themeColor="text1"/>
          <w:sz w:val="24"/>
          <w:szCs w:val="24"/>
        </w:rPr>
        <w:t>excludes criminal liability under</w:t>
      </w:r>
      <w:r w:rsidR="00DB5022" w:rsidRPr="00DE76AA">
        <w:rPr>
          <w:color w:val="000000" w:themeColor="text1"/>
          <w:sz w:val="24"/>
          <w:szCs w:val="24"/>
        </w:rPr>
        <w:t xml:space="preserve"> </w:t>
      </w:r>
      <w:r w:rsidR="00793524" w:rsidRPr="00DE76AA">
        <w:rPr>
          <w:color w:val="000000" w:themeColor="text1"/>
          <w:sz w:val="24"/>
          <w:szCs w:val="24"/>
        </w:rPr>
        <w:t xml:space="preserve"> </w:t>
      </w:r>
      <w:r w:rsidR="00DB5022" w:rsidRPr="00DE76AA">
        <w:rPr>
          <w:color w:val="000000" w:themeColor="text1"/>
          <w:sz w:val="24"/>
          <w:szCs w:val="24"/>
        </w:rPr>
        <w:t xml:space="preserve"> </w:t>
      </w:r>
      <w:r w:rsidR="00DB5022" w:rsidRPr="00DE76AA">
        <w:rPr>
          <w:rFonts w:cs="Times New Roman (Body CS)"/>
          <w:color w:val="000000" w:themeColor="text1"/>
          <w:sz w:val="24"/>
          <w:szCs w:val="24"/>
        </w:rPr>
        <w:lastRenderedPageBreak/>
        <w:t>Article 31(1)(d) of the Rome Statue.</w:t>
      </w:r>
      <w:r w:rsidR="00DB5022" w:rsidRPr="00DE76AA">
        <w:rPr>
          <w:rStyle w:val="EndnoteReference"/>
          <w:rFonts w:cs="Times New Roman (Body CS)"/>
          <w:color w:val="000000" w:themeColor="text1"/>
          <w:sz w:val="24"/>
          <w:szCs w:val="24"/>
        </w:rPr>
        <w:endnoteReference w:id="24"/>
      </w:r>
      <w:r w:rsidR="00DB5022" w:rsidRPr="00DE76AA">
        <w:rPr>
          <w:color w:val="000000" w:themeColor="text1"/>
          <w:sz w:val="24"/>
          <w:szCs w:val="24"/>
        </w:rPr>
        <w:t xml:space="preserve"> </w:t>
      </w:r>
      <w:r w:rsidR="002C245B" w:rsidRPr="00DE76AA">
        <w:rPr>
          <w:color w:val="000000" w:themeColor="text1"/>
          <w:sz w:val="24"/>
          <w:szCs w:val="24"/>
        </w:rPr>
        <w:t>Indeed</w:t>
      </w:r>
      <w:r w:rsidR="00461BB5" w:rsidRPr="00DE76AA">
        <w:rPr>
          <w:color w:val="000000" w:themeColor="text1"/>
          <w:sz w:val="24"/>
          <w:szCs w:val="24"/>
        </w:rPr>
        <w:t xml:space="preserve">, the failure to recognize </w:t>
      </w:r>
      <w:r w:rsidR="00AE0598" w:rsidRPr="00DE76AA">
        <w:rPr>
          <w:color w:val="000000" w:themeColor="text1"/>
          <w:sz w:val="24"/>
          <w:szCs w:val="24"/>
        </w:rPr>
        <w:t xml:space="preserve">such </w:t>
      </w:r>
      <w:r w:rsidR="00461BB5" w:rsidRPr="00DE76AA">
        <w:rPr>
          <w:color w:val="000000" w:themeColor="text1"/>
          <w:sz w:val="24"/>
          <w:szCs w:val="24"/>
        </w:rPr>
        <w:t xml:space="preserve">historical circumstances </w:t>
      </w:r>
      <w:r w:rsidR="002C245B" w:rsidRPr="00DE76AA">
        <w:rPr>
          <w:color w:val="000000" w:themeColor="text1"/>
          <w:sz w:val="24"/>
          <w:szCs w:val="24"/>
        </w:rPr>
        <w:t xml:space="preserve">could be regarded as </w:t>
      </w:r>
      <w:r w:rsidR="00461BB5" w:rsidRPr="00DE76AA">
        <w:rPr>
          <w:color w:val="000000" w:themeColor="text1"/>
          <w:sz w:val="24"/>
          <w:szCs w:val="24"/>
        </w:rPr>
        <w:t>limit</w:t>
      </w:r>
      <w:r w:rsidR="002C245B" w:rsidRPr="00DE76AA">
        <w:rPr>
          <w:color w:val="000000" w:themeColor="text1"/>
          <w:sz w:val="24"/>
          <w:szCs w:val="24"/>
        </w:rPr>
        <w:t>ing</w:t>
      </w:r>
      <w:r w:rsidR="00461BB5" w:rsidRPr="00DE76AA">
        <w:rPr>
          <w:color w:val="000000" w:themeColor="text1"/>
          <w:sz w:val="24"/>
          <w:szCs w:val="24"/>
        </w:rPr>
        <w:t xml:space="preserve"> the </w:t>
      </w:r>
      <w:commentRangeStart w:id="20"/>
      <w:r w:rsidR="00461BB5" w:rsidRPr="00DE76AA">
        <w:rPr>
          <w:color w:val="000000" w:themeColor="text1"/>
          <w:sz w:val="24"/>
          <w:szCs w:val="24"/>
        </w:rPr>
        <w:t xml:space="preserve">necessary </w:t>
      </w:r>
      <w:commentRangeEnd w:id="20"/>
      <w:r w:rsidR="002C245B" w:rsidRPr="00DE76AA">
        <w:rPr>
          <w:rStyle w:val="CommentReference"/>
          <w:color w:val="000000" w:themeColor="text1"/>
        </w:rPr>
        <w:commentReference w:id="20"/>
      </w:r>
      <w:r w:rsidR="00461BB5" w:rsidRPr="00DE76AA">
        <w:rPr>
          <w:color w:val="000000" w:themeColor="text1"/>
          <w:sz w:val="24"/>
          <w:szCs w:val="24"/>
        </w:rPr>
        <w:t>protection towards child soldiers</w:t>
      </w:r>
      <w:r w:rsidR="006942C4" w:rsidRPr="00DE76AA">
        <w:rPr>
          <w:color w:val="000000" w:themeColor="text1"/>
          <w:sz w:val="24"/>
          <w:szCs w:val="24"/>
        </w:rPr>
        <w:t xml:space="preserve"> under the Rome </w:t>
      </w:r>
      <w:r w:rsidR="008A6E36" w:rsidRPr="00DE76AA">
        <w:rPr>
          <w:color w:val="000000" w:themeColor="text1"/>
          <w:sz w:val="24"/>
          <w:szCs w:val="24"/>
        </w:rPr>
        <w:t>Statute, Humanitarian law and International human rights law,</w:t>
      </w:r>
      <w:r w:rsidR="008A6E36" w:rsidRPr="00DE76AA">
        <w:rPr>
          <w:rStyle w:val="EndnoteReference"/>
          <w:color w:val="000000" w:themeColor="text1"/>
          <w:sz w:val="24"/>
          <w:szCs w:val="24"/>
        </w:rPr>
        <w:endnoteReference w:id="25"/>
      </w:r>
      <w:r w:rsidR="008A6E36" w:rsidRPr="00DE76AA">
        <w:rPr>
          <w:color w:val="000000" w:themeColor="text1"/>
          <w:sz w:val="24"/>
          <w:szCs w:val="24"/>
        </w:rPr>
        <w:t xml:space="preserve"> also recognized in emerging scholarship.</w:t>
      </w:r>
      <w:r w:rsidR="00461BB5" w:rsidRPr="00DE76AA">
        <w:rPr>
          <w:rStyle w:val="EndnoteReference"/>
          <w:color w:val="000000" w:themeColor="text1"/>
          <w:sz w:val="24"/>
          <w:szCs w:val="24"/>
        </w:rPr>
        <w:endnoteReference w:id="26"/>
      </w:r>
      <w:r w:rsidR="00461BB5" w:rsidRPr="00DE76AA">
        <w:rPr>
          <w:color w:val="000000" w:themeColor="text1"/>
          <w:sz w:val="24"/>
          <w:szCs w:val="24"/>
        </w:rPr>
        <w:t xml:space="preserve">  </w:t>
      </w:r>
    </w:p>
    <w:bookmarkEnd w:id="19"/>
    <w:p w14:paraId="32492904" w14:textId="29FF9DF4" w:rsidR="00157450" w:rsidRPr="00DE76AA" w:rsidRDefault="00461BB5"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Additionally, </w:t>
      </w:r>
      <w:r w:rsidR="00520B85" w:rsidRPr="00DE76AA">
        <w:rPr>
          <w:color w:val="000000" w:themeColor="text1"/>
          <w:sz w:val="24"/>
          <w:szCs w:val="24"/>
        </w:rPr>
        <w:t xml:space="preserve">this </w:t>
      </w:r>
      <w:r w:rsidRPr="00DE76AA">
        <w:rPr>
          <w:color w:val="000000" w:themeColor="text1"/>
          <w:sz w:val="24"/>
          <w:szCs w:val="24"/>
        </w:rPr>
        <w:t xml:space="preserve">is a shift from the approach taken in the case against </w:t>
      </w:r>
      <w:r w:rsidRPr="00DE76AA">
        <w:rPr>
          <w:iCs/>
          <w:color w:val="000000" w:themeColor="text1"/>
          <w:sz w:val="24"/>
          <w:szCs w:val="24"/>
        </w:rPr>
        <w:t>Thomas Lubanga Dyilo</w:t>
      </w:r>
      <w:r w:rsidR="00520B85" w:rsidRPr="00DE76AA">
        <w:rPr>
          <w:iCs/>
          <w:color w:val="000000" w:themeColor="text1"/>
          <w:sz w:val="24"/>
          <w:szCs w:val="24"/>
        </w:rPr>
        <w:t xml:space="preserve"> </w:t>
      </w:r>
      <w:r w:rsidRPr="00DE76AA">
        <w:rPr>
          <w:color w:val="000000" w:themeColor="text1"/>
          <w:sz w:val="24"/>
          <w:szCs w:val="24"/>
        </w:rPr>
        <w:t>-</w:t>
      </w:r>
      <w:r w:rsidR="00520B85" w:rsidRPr="00DE76AA">
        <w:rPr>
          <w:color w:val="000000" w:themeColor="text1"/>
          <w:sz w:val="24"/>
          <w:szCs w:val="24"/>
        </w:rPr>
        <w:t xml:space="preserve"> </w:t>
      </w:r>
      <w:r w:rsidRPr="00DE76AA">
        <w:rPr>
          <w:color w:val="000000" w:themeColor="text1"/>
          <w:sz w:val="24"/>
          <w:szCs w:val="24"/>
        </w:rPr>
        <w:t>the first defendant to be convicted for conscription, enlistment and use of child soldiers</w:t>
      </w:r>
      <w:r w:rsidR="00625BF2" w:rsidRPr="00DE76AA">
        <w:rPr>
          <w:color w:val="000000" w:themeColor="text1"/>
          <w:sz w:val="24"/>
          <w:szCs w:val="24"/>
        </w:rPr>
        <w:t xml:space="preserve"> by the ICC</w:t>
      </w:r>
      <w:r w:rsidRPr="00DE76AA">
        <w:rPr>
          <w:color w:val="000000" w:themeColor="text1"/>
          <w:sz w:val="24"/>
          <w:szCs w:val="24"/>
        </w:rPr>
        <w:t>.</w:t>
      </w:r>
      <w:r w:rsidR="00E712BF" w:rsidRPr="00DE76AA">
        <w:rPr>
          <w:rStyle w:val="EndnoteReference"/>
          <w:color w:val="000000" w:themeColor="text1"/>
          <w:sz w:val="24"/>
          <w:szCs w:val="24"/>
        </w:rPr>
        <w:endnoteReference w:id="27"/>
      </w:r>
      <w:r w:rsidR="00E712BF" w:rsidRPr="00DE76AA">
        <w:rPr>
          <w:color w:val="000000" w:themeColor="text1"/>
          <w:sz w:val="24"/>
          <w:szCs w:val="24"/>
        </w:rPr>
        <w:t xml:space="preserve"> </w:t>
      </w:r>
      <w:r w:rsidR="00C24440" w:rsidRPr="00DE76AA">
        <w:rPr>
          <w:color w:val="000000" w:themeColor="text1"/>
          <w:sz w:val="24"/>
          <w:szCs w:val="24"/>
        </w:rPr>
        <w:t xml:space="preserve"> </w:t>
      </w:r>
      <w:r w:rsidR="00FF7F9B" w:rsidRPr="00DE76AA">
        <w:rPr>
          <w:color w:val="000000" w:themeColor="text1"/>
          <w:sz w:val="24"/>
          <w:szCs w:val="24"/>
        </w:rPr>
        <w:t xml:space="preserve">More notably, </w:t>
      </w:r>
      <w:r w:rsidR="00157450" w:rsidRPr="00DE76AA">
        <w:rPr>
          <w:color w:val="000000" w:themeColor="text1"/>
          <w:sz w:val="24"/>
          <w:szCs w:val="24"/>
        </w:rPr>
        <w:t xml:space="preserve">while individual circumstances of former child soldiers, including long term consequences were recognized in the </w:t>
      </w:r>
      <w:r w:rsidR="00157450" w:rsidRPr="00DE76AA">
        <w:rPr>
          <w:i/>
          <w:color w:val="000000" w:themeColor="text1"/>
          <w:sz w:val="24"/>
          <w:szCs w:val="24"/>
        </w:rPr>
        <w:t xml:space="preserve">Lubanga </w:t>
      </w:r>
      <w:r w:rsidR="003224F8" w:rsidRPr="00DE76AA">
        <w:rPr>
          <w:i/>
          <w:color w:val="000000" w:themeColor="text1"/>
          <w:sz w:val="24"/>
          <w:szCs w:val="24"/>
        </w:rPr>
        <w:t>case</w:t>
      </w:r>
      <w:r w:rsidR="003224F8" w:rsidRPr="00DE76AA">
        <w:rPr>
          <w:color w:val="000000" w:themeColor="text1"/>
          <w:sz w:val="24"/>
          <w:szCs w:val="24"/>
        </w:rPr>
        <w:t>, the</w:t>
      </w:r>
      <w:r w:rsidR="00157450" w:rsidRPr="00DE76AA">
        <w:rPr>
          <w:color w:val="000000" w:themeColor="text1"/>
          <w:sz w:val="24"/>
          <w:szCs w:val="24"/>
        </w:rPr>
        <w:t xml:space="preserve"> Chamber did not make any such finding </w:t>
      </w:r>
      <w:r w:rsidR="00F6654E" w:rsidRPr="00DE76AA">
        <w:rPr>
          <w:color w:val="000000" w:themeColor="text1"/>
          <w:sz w:val="24"/>
          <w:szCs w:val="24"/>
        </w:rPr>
        <w:t xml:space="preserve">regarding </w:t>
      </w:r>
      <w:proofErr w:type="spellStart"/>
      <w:r w:rsidR="00F6654E" w:rsidRPr="00DE76AA">
        <w:rPr>
          <w:color w:val="000000" w:themeColor="text1"/>
          <w:sz w:val="24"/>
          <w:szCs w:val="24"/>
        </w:rPr>
        <w:t>Ongwen’s</w:t>
      </w:r>
      <w:proofErr w:type="spellEnd"/>
      <w:r w:rsidR="00F6654E" w:rsidRPr="00DE76AA">
        <w:rPr>
          <w:color w:val="000000" w:themeColor="text1"/>
          <w:sz w:val="24"/>
          <w:szCs w:val="24"/>
        </w:rPr>
        <w:t xml:space="preserve"> situation.</w:t>
      </w:r>
      <w:r w:rsidR="00F6654E" w:rsidRPr="00DE76AA">
        <w:rPr>
          <w:rStyle w:val="EndnoteReference"/>
          <w:color w:val="000000" w:themeColor="text1"/>
          <w:sz w:val="24"/>
          <w:szCs w:val="24"/>
        </w:rPr>
        <w:endnoteReference w:id="28"/>
      </w:r>
      <w:r w:rsidR="00F6654E" w:rsidRPr="00DE76AA">
        <w:rPr>
          <w:color w:val="000000" w:themeColor="text1"/>
          <w:sz w:val="24"/>
          <w:szCs w:val="24"/>
        </w:rPr>
        <w:t xml:space="preserve"> </w:t>
      </w:r>
      <w:r w:rsidR="009770E1" w:rsidRPr="00DE76AA">
        <w:rPr>
          <w:rFonts w:cs="Times New Roman (Body CS)"/>
          <w:color w:val="000000" w:themeColor="text1"/>
          <w:sz w:val="24"/>
          <w:szCs w:val="24"/>
        </w:rPr>
        <w:t xml:space="preserve">It is important to note however, that in the </w:t>
      </w:r>
      <w:r w:rsidR="009770E1" w:rsidRPr="00DE76AA">
        <w:rPr>
          <w:rFonts w:cs="Times New Roman (Body CS)"/>
          <w:i/>
          <w:color w:val="000000" w:themeColor="text1"/>
          <w:sz w:val="24"/>
          <w:szCs w:val="24"/>
        </w:rPr>
        <w:t>Lubanga case,</w:t>
      </w:r>
      <w:r w:rsidR="009770E1" w:rsidRPr="00DE76AA">
        <w:rPr>
          <w:rFonts w:cs="Times New Roman (Body CS)"/>
          <w:color w:val="000000" w:themeColor="text1"/>
          <w:sz w:val="24"/>
          <w:szCs w:val="24"/>
        </w:rPr>
        <w:t xml:space="preserve"> the child soldiers were the victims recruited by Lubanga during </w:t>
      </w:r>
      <w:r w:rsidR="002E6708" w:rsidRPr="00DE76AA">
        <w:rPr>
          <w:rFonts w:cs="Times New Roman (Body CS)"/>
          <w:color w:val="000000" w:themeColor="text1"/>
          <w:sz w:val="24"/>
          <w:szCs w:val="24"/>
        </w:rPr>
        <w:t xml:space="preserve">the </w:t>
      </w:r>
      <w:r w:rsidR="00DB5022" w:rsidRPr="00DE76AA">
        <w:rPr>
          <w:rFonts w:cs="Times New Roman (Body CS)"/>
          <w:color w:val="000000" w:themeColor="text1"/>
          <w:sz w:val="24"/>
          <w:szCs w:val="24"/>
        </w:rPr>
        <w:t>hostilities, whose victimhood was considered to be continuous.</w:t>
      </w:r>
      <w:r w:rsidR="00DB5022" w:rsidRPr="00DE76AA">
        <w:rPr>
          <w:color w:val="000000" w:themeColor="text1"/>
          <w:sz w:val="24"/>
          <w:szCs w:val="24"/>
        </w:rPr>
        <w:t xml:space="preserve"> </w:t>
      </w:r>
    </w:p>
    <w:p w14:paraId="49B59C71" w14:textId="1A8808EE" w:rsidR="00461BB5" w:rsidRPr="00DE76AA" w:rsidRDefault="00C24440" w:rsidP="00F53616">
      <w:pPr>
        <w:tabs>
          <w:tab w:val="left" w:pos="2090"/>
        </w:tabs>
        <w:spacing w:line="276" w:lineRule="auto"/>
        <w:jc w:val="both"/>
        <w:rPr>
          <w:color w:val="000000" w:themeColor="text1"/>
          <w:sz w:val="24"/>
          <w:szCs w:val="24"/>
        </w:rPr>
      </w:pPr>
      <w:r w:rsidRPr="00DE76AA">
        <w:rPr>
          <w:color w:val="000000" w:themeColor="text1"/>
          <w:sz w:val="24"/>
          <w:szCs w:val="24"/>
        </w:rPr>
        <w:t xml:space="preserve">The above reasoning demonstrates why a detailed assessment of </w:t>
      </w:r>
      <w:r w:rsidRPr="00DE76AA">
        <w:rPr>
          <w:iCs/>
          <w:color w:val="000000" w:themeColor="text1"/>
          <w:sz w:val="24"/>
          <w:szCs w:val="24"/>
        </w:rPr>
        <w:t>Ongwen’s</w:t>
      </w:r>
      <w:r w:rsidRPr="00DE76AA">
        <w:rPr>
          <w:color w:val="000000" w:themeColor="text1"/>
          <w:sz w:val="24"/>
          <w:szCs w:val="24"/>
        </w:rPr>
        <w:t xml:space="preserve"> individual circumstances was necessary</w:t>
      </w:r>
      <w:r w:rsidR="00FF32B8" w:rsidRPr="00DE76AA">
        <w:rPr>
          <w:color w:val="000000" w:themeColor="text1"/>
          <w:sz w:val="24"/>
          <w:szCs w:val="24"/>
        </w:rPr>
        <w:t xml:space="preserve">, </w:t>
      </w:r>
      <w:r w:rsidR="00FF32B8" w:rsidRPr="00DE76AA">
        <w:rPr>
          <w:rFonts w:cs="Times New Roman (Body CS)"/>
          <w:color w:val="000000" w:themeColor="text1"/>
          <w:sz w:val="24"/>
          <w:szCs w:val="24"/>
        </w:rPr>
        <w:t xml:space="preserve">especially in </w:t>
      </w:r>
      <w:proofErr w:type="gramStart"/>
      <w:r w:rsidR="00FF32B8" w:rsidRPr="00DE76AA">
        <w:rPr>
          <w:rFonts w:cs="Times New Roman (Body CS)"/>
          <w:color w:val="000000" w:themeColor="text1"/>
          <w:sz w:val="24"/>
          <w:szCs w:val="24"/>
        </w:rPr>
        <w:t>analysing  the</w:t>
      </w:r>
      <w:proofErr w:type="gramEnd"/>
      <w:r w:rsidR="00FF32B8" w:rsidRPr="00DE76AA">
        <w:rPr>
          <w:rFonts w:cs="Times New Roman (Body CS)"/>
          <w:color w:val="000000" w:themeColor="text1"/>
          <w:sz w:val="24"/>
          <w:szCs w:val="24"/>
        </w:rPr>
        <w:t xml:space="preserve"> defence of duress vis a vis  the</w:t>
      </w:r>
      <w:r w:rsidR="00D010B2" w:rsidRPr="00DE76AA">
        <w:rPr>
          <w:rFonts w:cs="Times New Roman (Body CS)"/>
          <w:color w:val="000000" w:themeColor="text1"/>
          <w:sz w:val="24"/>
          <w:szCs w:val="24"/>
        </w:rPr>
        <w:t xml:space="preserve"> crimes of </w:t>
      </w:r>
      <w:r w:rsidR="00FF32B8" w:rsidRPr="00DE76AA">
        <w:rPr>
          <w:rFonts w:cs="Times New Roman (Body CS)"/>
          <w:color w:val="000000" w:themeColor="text1"/>
          <w:sz w:val="24"/>
          <w:szCs w:val="24"/>
        </w:rPr>
        <w:t xml:space="preserve"> conscription and use in hostilities of children under the age of </w:t>
      </w:r>
      <w:r w:rsidR="00D010B2" w:rsidRPr="00DE76AA">
        <w:rPr>
          <w:rFonts w:cs="Times New Roman (Body CS)"/>
          <w:color w:val="000000" w:themeColor="text1"/>
          <w:sz w:val="24"/>
          <w:szCs w:val="24"/>
        </w:rPr>
        <w:t>fifteen. This</w:t>
      </w:r>
      <w:r w:rsidR="00DB6459" w:rsidRPr="00DE76AA">
        <w:rPr>
          <w:color w:val="000000" w:themeColor="text1"/>
          <w:sz w:val="24"/>
          <w:szCs w:val="24"/>
        </w:rPr>
        <w:t xml:space="preserve"> would have the effect of making international criminal </w:t>
      </w:r>
      <w:r w:rsidR="00047B09" w:rsidRPr="00DE76AA">
        <w:rPr>
          <w:color w:val="000000" w:themeColor="text1"/>
          <w:sz w:val="24"/>
          <w:szCs w:val="24"/>
        </w:rPr>
        <w:t xml:space="preserve">law </w:t>
      </w:r>
      <w:r w:rsidR="00DB6459" w:rsidRPr="00DE76AA">
        <w:rPr>
          <w:color w:val="000000" w:themeColor="text1"/>
          <w:sz w:val="24"/>
          <w:szCs w:val="24"/>
        </w:rPr>
        <w:t>mor</w:t>
      </w:r>
      <w:r w:rsidR="00047B09" w:rsidRPr="00DE76AA">
        <w:rPr>
          <w:color w:val="000000" w:themeColor="text1"/>
          <w:sz w:val="24"/>
          <w:szCs w:val="24"/>
        </w:rPr>
        <w:t xml:space="preserve">e </w:t>
      </w:r>
      <w:proofErr w:type="gramStart"/>
      <w:r w:rsidR="00047B09" w:rsidRPr="00DE76AA">
        <w:rPr>
          <w:color w:val="000000" w:themeColor="text1"/>
          <w:sz w:val="24"/>
          <w:szCs w:val="24"/>
        </w:rPr>
        <w:t xml:space="preserve">relevant </w:t>
      </w:r>
      <w:r w:rsidR="00461BB5" w:rsidRPr="00DE76AA">
        <w:rPr>
          <w:color w:val="000000" w:themeColor="text1"/>
          <w:sz w:val="24"/>
          <w:szCs w:val="24"/>
        </w:rPr>
        <w:t xml:space="preserve"> </w:t>
      </w:r>
      <w:r w:rsidR="00047B09" w:rsidRPr="00DE76AA">
        <w:rPr>
          <w:color w:val="000000" w:themeColor="text1"/>
          <w:sz w:val="24"/>
          <w:szCs w:val="24"/>
        </w:rPr>
        <w:t>when</w:t>
      </w:r>
      <w:proofErr w:type="gramEnd"/>
      <w:r w:rsidR="00047B09" w:rsidRPr="00DE76AA">
        <w:rPr>
          <w:color w:val="000000" w:themeColor="text1"/>
          <w:sz w:val="24"/>
          <w:szCs w:val="24"/>
        </w:rPr>
        <w:t xml:space="preserve"> </w:t>
      </w:r>
      <w:r w:rsidR="00461BB5" w:rsidRPr="00DE76AA">
        <w:rPr>
          <w:color w:val="000000" w:themeColor="text1"/>
          <w:sz w:val="24"/>
          <w:szCs w:val="24"/>
        </w:rPr>
        <w:t xml:space="preserve">addressing complex </w:t>
      </w:r>
      <w:r w:rsidR="00047B09" w:rsidRPr="00DE76AA">
        <w:rPr>
          <w:color w:val="000000" w:themeColor="text1"/>
          <w:sz w:val="24"/>
          <w:szCs w:val="24"/>
        </w:rPr>
        <w:t xml:space="preserve">armed </w:t>
      </w:r>
      <w:r w:rsidR="00461BB5" w:rsidRPr="00DE76AA">
        <w:rPr>
          <w:color w:val="000000" w:themeColor="text1"/>
          <w:sz w:val="24"/>
          <w:szCs w:val="24"/>
        </w:rPr>
        <w:t>situations.</w:t>
      </w:r>
      <w:r w:rsidR="00EF00E5" w:rsidRPr="00DE76AA">
        <w:rPr>
          <w:rStyle w:val="EndnoteReference"/>
          <w:color w:val="000000" w:themeColor="text1"/>
          <w:sz w:val="24"/>
          <w:szCs w:val="24"/>
        </w:rPr>
        <w:endnoteReference w:id="29"/>
      </w:r>
    </w:p>
    <w:p w14:paraId="01ADF390" w14:textId="77777777" w:rsidR="002125C7" w:rsidRPr="00DE76AA" w:rsidRDefault="002125C7" w:rsidP="00F53616">
      <w:pPr>
        <w:spacing w:line="276" w:lineRule="auto"/>
        <w:jc w:val="both"/>
        <w:rPr>
          <w:color w:val="000000" w:themeColor="text1"/>
          <w:sz w:val="24"/>
          <w:szCs w:val="24"/>
        </w:rPr>
      </w:pPr>
    </w:p>
    <w:p w14:paraId="09657AB6" w14:textId="77777777" w:rsidR="00D844A4" w:rsidRPr="00DE76AA" w:rsidRDefault="00D844A4" w:rsidP="00F53616">
      <w:pPr>
        <w:spacing w:line="276" w:lineRule="auto"/>
        <w:jc w:val="both"/>
        <w:rPr>
          <w:b/>
          <w:color w:val="000000" w:themeColor="text1"/>
          <w:sz w:val="24"/>
          <w:szCs w:val="24"/>
        </w:rPr>
      </w:pPr>
      <w:r w:rsidRPr="00DE76AA">
        <w:rPr>
          <w:b/>
          <w:color w:val="000000" w:themeColor="text1"/>
          <w:sz w:val="24"/>
          <w:szCs w:val="24"/>
        </w:rPr>
        <w:t xml:space="preserve">Conclusion </w:t>
      </w:r>
    </w:p>
    <w:p w14:paraId="39FC07C6" w14:textId="6083AE93" w:rsidR="00636C5E" w:rsidRPr="00DE76AA" w:rsidRDefault="00601F4E" w:rsidP="00F53616">
      <w:pPr>
        <w:spacing w:line="276" w:lineRule="auto"/>
        <w:jc w:val="both"/>
        <w:rPr>
          <w:color w:val="000000" w:themeColor="text1"/>
          <w:sz w:val="24"/>
          <w:szCs w:val="24"/>
        </w:rPr>
      </w:pPr>
      <w:r w:rsidRPr="00DE76AA">
        <w:rPr>
          <w:color w:val="000000" w:themeColor="text1"/>
          <w:sz w:val="24"/>
          <w:szCs w:val="24"/>
        </w:rPr>
        <w:t>T</w:t>
      </w:r>
      <w:r w:rsidR="007962FA" w:rsidRPr="00DE76AA">
        <w:rPr>
          <w:color w:val="000000" w:themeColor="text1"/>
          <w:sz w:val="24"/>
          <w:szCs w:val="24"/>
        </w:rPr>
        <w:t xml:space="preserve">he Chamber missed a vital opportunity to </w:t>
      </w:r>
      <w:r w:rsidR="00593E6B" w:rsidRPr="00DE76AA">
        <w:rPr>
          <w:color w:val="000000" w:themeColor="text1"/>
          <w:sz w:val="24"/>
          <w:szCs w:val="24"/>
        </w:rPr>
        <w:t xml:space="preserve">examine </w:t>
      </w:r>
      <w:r w:rsidR="007962FA" w:rsidRPr="00DE76AA">
        <w:rPr>
          <w:color w:val="000000" w:themeColor="text1"/>
          <w:sz w:val="24"/>
          <w:szCs w:val="24"/>
        </w:rPr>
        <w:t>the impact of previous child victimhood status on criminal liability. This can be attributed to the complexity of the nature of the conflict in Northe</w:t>
      </w:r>
      <w:r w:rsidR="00776346" w:rsidRPr="00DE76AA">
        <w:rPr>
          <w:color w:val="000000" w:themeColor="text1"/>
          <w:sz w:val="24"/>
          <w:szCs w:val="24"/>
        </w:rPr>
        <w:t>r</w:t>
      </w:r>
      <w:r w:rsidR="007962FA" w:rsidRPr="00DE76AA">
        <w:rPr>
          <w:color w:val="000000" w:themeColor="text1"/>
          <w:sz w:val="24"/>
          <w:szCs w:val="24"/>
        </w:rPr>
        <w:t xml:space="preserve">n Uganda. Nonetheless, the </w:t>
      </w:r>
      <w:r w:rsidR="00E91C6D" w:rsidRPr="00DE76AA">
        <w:rPr>
          <w:color w:val="000000" w:themeColor="text1"/>
          <w:sz w:val="24"/>
          <w:szCs w:val="24"/>
        </w:rPr>
        <w:t>judgment</w:t>
      </w:r>
      <w:r w:rsidR="007962FA" w:rsidRPr="00DE76AA">
        <w:rPr>
          <w:color w:val="000000" w:themeColor="text1"/>
          <w:sz w:val="24"/>
          <w:szCs w:val="24"/>
        </w:rPr>
        <w:t xml:space="preserve"> sets a key precedent for the conceptualization and recognition of crimes of forced marriage and forced pregnancy</w:t>
      </w:r>
      <w:r w:rsidR="00B5762C" w:rsidRPr="00DE76AA">
        <w:rPr>
          <w:color w:val="000000" w:themeColor="text1"/>
          <w:sz w:val="24"/>
          <w:szCs w:val="24"/>
        </w:rPr>
        <w:t xml:space="preserve">. </w:t>
      </w:r>
    </w:p>
    <w:p w14:paraId="08060C80" w14:textId="7F992C43" w:rsidR="00F959FA" w:rsidRPr="00DE76AA" w:rsidRDefault="00F959FA" w:rsidP="00F53616">
      <w:pPr>
        <w:tabs>
          <w:tab w:val="left" w:pos="2090"/>
        </w:tabs>
        <w:spacing w:line="276" w:lineRule="auto"/>
        <w:jc w:val="both"/>
        <w:rPr>
          <w:color w:val="000000" w:themeColor="text1"/>
          <w:sz w:val="24"/>
          <w:szCs w:val="24"/>
        </w:rPr>
      </w:pPr>
      <w:r w:rsidRPr="00DE76AA">
        <w:rPr>
          <w:color w:val="000000" w:themeColor="text1"/>
          <w:sz w:val="24"/>
          <w:szCs w:val="24"/>
        </w:rPr>
        <w:t>For the future, the Chamber’s sentencing decision will serve as a particularly interesting test, especially as to how it will balance his critical mitigating factor of victimhood, against his aggravating factors.  Specifically, it could reflect a much-needed middle-ground position regarding the culpability of former child soldiers,</w:t>
      </w:r>
      <w:r w:rsidRPr="00DE76AA">
        <w:rPr>
          <w:rStyle w:val="EndnoteReference"/>
          <w:color w:val="000000" w:themeColor="text1"/>
          <w:sz w:val="24"/>
          <w:szCs w:val="24"/>
        </w:rPr>
        <w:endnoteReference w:id="30"/>
      </w:r>
      <w:r w:rsidRPr="00DE76AA">
        <w:rPr>
          <w:color w:val="000000" w:themeColor="text1"/>
          <w:sz w:val="24"/>
          <w:szCs w:val="24"/>
        </w:rPr>
        <w:t xml:space="preserve">and serve as an ideal decision for the distinction between victims and perpetrator. </w:t>
      </w:r>
    </w:p>
    <w:p w14:paraId="36CD27BA" w14:textId="77777777" w:rsidR="00F959FA" w:rsidRPr="00DE76AA" w:rsidRDefault="00F959FA" w:rsidP="00F53616">
      <w:pPr>
        <w:spacing w:line="276" w:lineRule="auto"/>
        <w:jc w:val="both"/>
        <w:rPr>
          <w:color w:val="000000" w:themeColor="text1"/>
          <w:sz w:val="24"/>
          <w:szCs w:val="24"/>
        </w:rPr>
      </w:pPr>
    </w:p>
    <w:p w14:paraId="14C2FB88" w14:textId="77777777" w:rsidR="00636C5E" w:rsidRPr="00DE76AA" w:rsidRDefault="00636C5E" w:rsidP="00F53616">
      <w:pPr>
        <w:spacing w:line="276" w:lineRule="auto"/>
        <w:jc w:val="both"/>
        <w:rPr>
          <w:color w:val="000000" w:themeColor="text1"/>
          <w:sz w:val="24"/>
          <w:szCs w:val="24"/>
        </w:rPr>
      </w:pPr>
    </w:p>
    <w:sectPr w:rsidR="00636C5E" w:rsidRPr="00DE76AA" w:rsidSect="00EC32B3">
      <w:endnotePr>
        <w:numFmt w:val="decimal"/>
      </w:endnotePr>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Natalya Scimeca" w:date="2021-04-12T21:40:00Z" w:initials="NS">
    <w:p w14:paraId="176861E6" w14:textId="70AD4F5C" w:rsidR="002C245B" w:rsidRDefault="002C245B">
      <w:pPr>
        <w:pStyle w:val="CommentText"/>
      </w:pPr>
      <w:r>
        <w:rPr>
          <w:rStyle w:val="CommentReference"/>
        </w:rPr>
        <w:annotationRef/>
      </w:r>
      <w:r>
        <w:t xml:space="preserve">Is this based on some legal obligation and if </w:t>
      </w:r>
      <w:proofErr w:type="gramStart"/>
      <w:r>
        <w:t>so</w:t>
      </w:r>
      <w:proofErr w:type="gramEnd"/>
      <w:r>
        <w:t xml:space="preserve"> can you flesh that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861E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3CE0" w16cex:dateUtc="2021-04-13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861E6" w16cid:durableId="241F3C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3B8F" w14:textId="77777777" w:rsidR="00284F98" w:rsidRDefault="00284F98" w:rsidP="00A352ED">
      <w:pPr>
        <w:spacing w:after="0" w:line="240" w:lineRule="auto"/>
      </w:pPr>
      <w:r>
        <w:separator/>
      </w:r>
    </w:p>
  </w:endnote>
  <w:endnote w:type="continuationSeparator" w:id="0">
    <w:p w14:paraId="1B33EB7D" w14:textId="77777777" w:rsidR="00284F98" w:rsidRDefault="00284F98" w:rsidP="00A352ED">
      <w:pPr>
        <w:spacing w:after="0" w:line="240" w:lineRule="auto"/>
      </w:pPr>
      <w:r>
        <w:continuationSeparator/>
      </w:r>
    </w:p>
  </w:endnote>
  <w:endnote w:id="1">
    <w:p w14:paraId="72CA06F0" w14:textId="75BC9FF2" w:rsidR="0005556D" w:rsidRPr="00DE76AA" w:rsidRDefault="0005556D">
      <w:pPr>
        <w:pStyle w:val="EndnoteText"/>
        <w:rPr>
          <w:color w:val="000000" w:themeColor="text1"/>
          <w:sz w:val="24"/>
          <w:szCs w:val="24"/>
        </w:rPr>
      </w:pPr>
      <w:r w:rsidRPr="00DE76AA">
        <w:rPr>
          <w:rStyle w:val="EndnoteReference"/>
          <w:color w:val="000000" w:themeColor="text1"/>
          <w:sz w:val="24"/>
          <w:szCs w:val="24"/>
        </w:rPr>
        <w:endnoteRef/>
      </w:r>
      <w:r w:rsidRPr="00DE76AA">
        <w:rPr>
          <w:color w:val="000000" w:themeColor="text1"/>
          <w:sz w:val="24"/>
          <w:szCs w:val="24"/>
        </w:rPr>
        <w:t xml:space="preserve"> </w:t>
      </w:r>
      <w:r w:rsidR="000B1669" w:rsidRPr="00DE76AA">
        <w:rPr>
          <w:color w:val="000000" w:themeColor="text1"/>
          <w:sz w:val="24"/>
          <w:szCs w:val="24"/>
        </w:rPr>
        <w:t xml:space="preserve">Prosecutor v. Dominic Ongwen, ICC-02/04-01/15-1762-Red, Trial Judgment, (February 4, 2021), available </w:t>
      </w:r>
      <w:r w:rsidR="000B1669" w:rsidRPr="00DE76AA">
        <w:rPr>
          <w:rFonts w:cs="Times New Roman (Body CS)"/>
          <w:color w:val="000000" w:themeColor="text1"/>
          <w:sz w:val="24"/>
          <w:szCs w:val="24"/>
        </w:rPr>
        <w:t xml:space="preserve">at </w:t>
      </w:r>
      <w:hyperlink r:id="rId1" w:history="1">
        <w:r w:rsidR="000B1669" w:rsidRPr="00DE76AA">
          <w:rPr>
            <w:rStyle w:val="Hyperlink"/>
            <w:rFonts w:cs="Times New Roman (Body CS)"/>
            <w:color w:val="000000" w:themeColor="text1"/>
            <w:sz w:val="24"/>
            <w:szCs w:val="24"/>
          </w:rPr>
          <w:t>https://www.icc-cpi.int/CourtRecords/CR2021_01026.PDF</w:t>
        </w:r>
      </w:hyperlink>
    </w:p>
  </w:endnote>
  <w:endnote w:id="2">
    <w:p w14:paraId="2B4F1CD4" w14:textId="5D91F566" w:rsidR="004C068D" w:rsidRPr="00DE76AA" w:rsidRDefault="004C068D" w:rsidP="004C068D">
      <w:pPr>
        <w:pStyle w:val="EndnoteText"/>
        <w:rPr>
          <w:color w:val="000000" w:themeColor="text1"/>
          <w:sz w:val="24"/>
          <w:szCs w:val="24"/>
        </w:rPr>
      </w:pPr>
      <w:r w:rsidRPr="00DE76AA">
        <w:rPr>
          <w:rStyle w:val="EndnoteReference"/>
          <w:color w:val="000000" w:themeColor="text1"/>
          <w:sz w:val="24"/>
          <w:szCs w:val="24"/>
        </w:rPr>
        <w:endnoteRef/>
      </w:r>
      <w:r w:rsidRPr="00DE76AA">
        <w:rPr>
          <w:color w:val="000000" w:themeColor="text1"/>
          <w:sz w:val="24"/>
          <w:szCs w:val="24"/>
        </w:rPr>
        <w:t xml:space="preserve"> </w:t>
      </w:r>
      <w:r w:rsidR="00F0271B" w:rsidRPr="00DE76AA">
        <w:rPr>
          <w:i/>
          <w:iCs/>
          <w:color w:val="000000" w:themeColor="text1"/>
          <w:sz w:val="24"/>
          <w:szCs w:val="24"/>
        </w:rPr>
        <w:t xml:space="preserve">See </w:t>
      </w:r>
      <w:r w:rsidRPr="00DE76AA">
        <w:rPr>
          <w:color w:val="000000" w:themeColor="text1"/>
          <w:sz w:val="24"/>
          <w:szCs w:val="24"/>
        </w:rPr>
        <w:t xml:space="preserve">Tonny R. Kirabira &amp; Leïla Choukroune, </w:t>
      </w:r>
      <w:r w:rsidRPr="00DE76AA">
        <w:rPr>
          <w:i/>
          <w:color w:val="000000" w:themeColor="text1"/>
          <w:sz w:val="24"/>
          <w:szCs w:val="24"/>
        </w:rPr>
        <w:t>Dominic Ongwen: ICC conviction of former child soldier establishes ‘forced pregnancy’ as a war crime,</w:t>
      </w:r>
      <w:r w:rsidRPr="00DE76AA">
        <w:rPr>
          <w:color w:val="000000" w:themeColor="text1"/>
          <w:sz w:val="24"/>
          <w:szCs w:val="24"/>
        </w:rPr>
        <w:t xml:space="preserve"> The Conversation (February 9, 2021), </w:t>
      </w:r>
      <w:r w:rsidRPr="00DE76AA">
        <w:rPr>
          <w:color w:val="000000" w:themeColor="text1"/>
        </w:rPr>
        <w:fldChar w:fldCharType="begin"/>
      </w:r>
      <w:r w:rsidRPr="00DE76AA">
        <w:rPr>
          <w:color w:val="000000" w:themeColor="text1"/>
        </w:rPr>
        <w:instrText xml:space="preserve"> HYPERLINK "https://theconversation.com/dominic-ongwen-icc-conviction-of-former-child-soldier-establishes-forced-pregnancy-as-a-war-crime-154671" </w:instrText>
      </w:r>
      <w:r w:rsidRPr="00DE76AA">
        <w:rPr>
          <w:color w:val="000000" w:themeColor="text1"/>
        </w:rPr>
        <w:fldChar w:fldCharType="separate"/>
      </w:r>
      <w:r w:rsidRPr="00DE76AA">
        <w:rPr>
          <w:rStyle w:val="Hyperlink"/>
          <w:color w:val="000000" w:themeColor="text1"/>
          <w:sz w:val="24"/>
          <w:szCs w:val="24"/>
        </w:rPr>
        <w:t>https://theconversation.com/dominic-ongwen-icc-conviction-of-former-child-soldier-establishes-forced-pregnancy-as-a-war-crime-154</w:t>
      </w:r>
      <w:r w:rsidRPr="00DE76AA">
        <w:rPr>
          <w:rStyle w:val="Hyperlink"/>
          <w:color w:val="000000" w:themeColor="text1"/>
          <w:sz w:val="24"/>
          <w:szCs w:val="24"/>
        </w:rPr>
        <w:t>6</w:t>
      </w:r>
      <w:r w:rsidRPr="00DE76AA">
        <w:rPr>
          <w:rStyle w:val="Hyperlink"/>
          <w:color w:val="000000" w:themeColor="text1"/>
          <w:sz w:val="24"/>
          <w:szCs w:val="24"/>
        </w:rPr>
        <w:t>71</w:t>
      </w:r>
      <w:r w:rsidRPr="00DE76AA">
        <w:rPr>
          <w:rStyle w:val="Hyperlink"/>
          <w:color w:val="000000" w:themeColor="text1"/>
          <w:sz w:val="24"/>
          <w:szCs w:val="24"/>
        </w:rPr>
        <w:fldChar w:fldCharType="end"/>
      </w:r>
      <w:r w:rsidRPr="00DE76AA">
        <w:rPr>
          <w:color w:val="000000" w:themeColor="text1"/>
          <w:sz w:val="24"/>
          <w:szCs w:val="24"/>
        </w:rPr>
        <w:t xml:space="preserve"> . </w:t>
      </w:r>
    </w:p>
  </w:endnote>
  <w:endnote w:id="3">
    <w:p w14:paraId="7F323ACD" w14:textId="2D4B468D" w:rsidR="00600A1B" w:rsidRPr="00B5762C" w:rsidRDefault="00600A1B">
      <w:pPr>
        <w:pStyle w:val="EndnoteText"/>
        <w:rPr>
          <w:sz w:val="24"/>
          <w:szCs w:val="24"/>
        </w:rPr>
      </w:pPr>
      <w:r w:rsidRPr="00B5762C">
        <w:rPr>
          <w:rStyle w:val="EndnoteReference"/>
          <w:sz w:val="24"/>
          <w:szCs w:val="24"/>
        </w:rPr>
        <w:endnoteRef/>
      </w:r>
      <w:r w:rsidRPr="00B5762C">
        <w:rPr>
          <w:sz w:val="24"/>
          <w:szCs w:val="24"/>
        </w:rPr>
        <w:t xml:space="preserve"> ICC Press Release, </w:t>
      </w:r>
      <w:r w:rsidRPr="00B26ABB">
        <w:rPr>
          <w:i/>
          <w:sz w:val="24"/>
          <w:szCs w:val="24"/>
        </w:rPr>
        <w:t>Statement by the Chief Prosecutor on the Uganda Arrest Warrants.</w:t>
      </w:r>
      <w:r w:rsidRPr="00B5762C">
        <w:rPr>
          <w:sz w:val="24"/>
          <w:szCs w:val="24"/>
        </w:rPr>
        <w:t xml:space="preserve"> (Oct. 14, 2005),  </w:t>
      </w:r>
      <w:hyperlink r:id="rId2" w:history="1">
        <w:r w:rsidRPr="00B5762C">
          <w:rPr>
            <w:rStyle w:val="Hyperlink"/>
            <w:color w:val="auto"/>
            <w:sz w:val="24"/>
            <w:szCs w:val="24"/>
          </w:rPr>
          <w:t>https://www.icc-cpi.int/nr/rdonlyres/3255817D-fd00-4072-9F58-fdb869F9B7cf/143834/lmo_20051014_English1.pdf</w:t>
        </w:r>
      </w:hyperlink>
      <w:r w:rsidRPr="00B5762C">
        <w:rPr>
          <w:sz w:val="24"/>
          <w:szCs w:val="24"/>
        </w:rPr>
        <w:t xml:space="preserve"> </w:t>
      </w:r>
    </w:p>
  </w:endnote>
  <w:endnote w:id="4">
    <w:p w14:paraId="4506CDE6" w14:textId="793FA47F" w:rsidR="00E179DB" w:rsidRPr="00B5762C" w:rsidRDefault="00E179DB">
      <w:pPr>
        <w:pStyle w:val="EndnoteText"/>
        <w:rPr>
          <w:sz w:val="24"/>
          <w:szCs w:val="24"/>
        </w:rPr>
      </w:pPr>
      <w:r w:rsidRPr="00B5762C">
        <w:rPr>
          <w:rStyle w:val="EndnoteReference"/>
          <w:sz w:val="24"/>
          <w:szCs w:val="24"/>
        </w:rPr>
        <w:endnoteRef/>
      </w:r>
      <w:r w:rsidRPr="00B5762C">
        <w:rPr>
          <w:sz w:val="24"/>
          <w:szCs w:val="24"/>
        </w:rPr>
        <w:t xml:space="preserve"> </w:t>
      </w:r>
      <w:bookmarkStart w:id="3" w:name="_Hlk70259051"/>
      <w:bookmarkStart w:id="4" w:name="_Hlk69469881"/>
      <w:r w:rsidRPr="00B5762C">
        <w:rPr>
          <w:sz w:val="24"/>
          <w:szCs w:val="24"/>
        </w:rPr>
        <w:t>Ongwen, </w:t>
      </w:r>
      <w:r w:rsidRPr="00B5762C">
        <w:rPr>
          <w:i/>
          <w:iCs/>
          <w:sz w:val="24"/>
          <w:szCs w:val="24"/>
        </w:rPr>
        <w:t>supra </w:t>
      </w:r>
      <w:r w:rsidRPr="00B5762C">
        <w:rPr>
          <w:sz w:val="24"/>
          <w:szCs w:val="24"/>
        </w:rPr>
        <w:t>note 1, </w:t>
      </w:r>
      <w:bookmarkEnd w:id="3"/>
      <w:r w:rsidRPr="00B5762C">
        <w:rPr>
          <w:sz w:val="24"/>
          <w:szCs w:val="24"/>
        </w:rPr>
        <w:t>¶33</w:t>
      </w:r>
      <w:r w:rsidR="00B33D6F">
        <w:rPr>
          <w:sz w:val="24"/>
          <w:szCs w:val="24"/>
        </w:rPr>
        <w:t>.</w:t>
      </w:r>
      <w:bookmarkEnd w:id="4"/>
    </w:p>
  </w:endnote>
  <w:endnote w:id="5">
    <w:p w14:paraId="296BF869" w14:textId="5E8BEE62" w:rsidR="002B370B" w:rsidRDefault="002B370B">
      <w:pPr>
        <w:pStyle w:val="EndnoteText"/>
      </w:pPr>
      <w:r>
        <w:rPr>
          <w:rStyle w:val="EndnoteReference"/>
        </w:rPr>
        <w:endnoteRef/>
      </w:r>
      <w:r>
        <w:t xml:space="preserve"> </w:t>
      </w:r>
      <w:r w:rsidRPr="005D5769">
        <w:rPr>
          <w:sz w:val="24"/>
          <w:szCs w:val="24"/>
        </w:rPr>
        <w:t xml:space="preserve">Rome Statute of the International Criminal Court, art. 31(1)(a), July 17, 1998, 2187 U.N.T.S. 90 [hereinafter Rome Statute]. </w:t>
      </w:r>
    </w:p>
  </w:endnote>
  <w:endnote w:id="6">
    <w:p w14:paraId="3115BB1C" w14:textId="270FEDED" w:rsidR="00490C03" w:rsidRPr="00B5762C" w:rsidRDefault="00490C03">
      <w:pPr>
        <w:pStyle w:val="EndnoteText"/>
        <w:rPr>
          <w:sz w:val="24"/>
          <w:szCs w:val="24"/>
        </w:rPr>
      </w:pPr>
      <w:r w:rsidRPr="00B5762C">
        <w:rPr>
          <w:rStyle w:val="EndnoteReference"/>
          <w:sz w:val="24"/>
          <w:szCs w:val="24"/>
        </w:rPr>
        <w:endnoteRef/>
      </w:r>
      <w:r w:rsidRPr="00B5762C">
        <w:rPr>
          <w:sz w:val="24"/>
          <w:szCs w:val="24"/>
        </w:rPr>
        <w:t xml:space="preserve"> </w:t>
      </w:r>
      <w:bookmarkStart w:id="5" w:name="_Hlk67650788"/>
      <w:r w:rsidRPr="00B5762C">
        <w:rPr>
          <w:sz w:val="24"/>
          <w:szCs w:val="24"/>
        </w:rPr>
        <w:t xml:space="preserve"> </w:t>
      </w:r>
      <w:bookmarkStart w:id="6" w:name="_Hlk70360331"/>
      <w:bookmarkStart w:id="7" w:name="_Hlk69721663"/>
      <w:bookmarkEnd w:id="5"/>
      <w:r w:rsidR="002C3E42" w:rsidRPr="00B5762C">
        <w:rPr>
          <w:sz w:val="24"/>
          <w:szCs w:val="24"/>
        </w:rPr>
        <w:t>Ongwen, </w:t>
      </w:r>
      <w:r w:rsidR="002C3E42" w:rsidRPr="00B5762C">
        <w:rPr>
          <w:i/>
          <w:iCs/>
          <w:sz w:val="24"/>
          <w:szCs w:val="24"/>
        </w:rPr>
        <w:t>supra </w:t>
      </w:r>
      <w:r w:rsidR="002C3E42" w:rsidRPr="00B5762C">
        <w:rPr>
          <w:sz w:val="24"/>
          <w:szCs w:val="24"/>
        </w:rPr>
        <w:t>note 1, </w:t>
      </w:r>
      <w:bookmarkEnd w:id="6"/>
      <w:r w:rsidR="00FF48BC" w:rsidRPr="0004625A">
        <w:rPr>
          <w:sz w:val="24"/>
          <w:szCs w:val="24"/>
        </w:rPr>
        <w:t xml:space="preserve">¶¶ </w:t>
      </w:r>
      <w:r w:rsidR="00FF48BC">
        <w:rPr>
          <w:sz w:val="24"/>
          <w:szCs w:val="24"/>
        </w:rPr>
        <w:t>24</w:t>
      </w:r>
      <w:r w:rsidR="00E40EC8">
        <w:rPr>
          <w:sz w:val="24"/>
          <w:szCs w:val="24"/>
        </w:rPr>
        <w:t>50</w:t>
      </w:r>
      <w:r w:rsidR="00FF48BC">
        <w:rPr>
          <w:sz w:val="24"/>
          <w:szCs w:val="24"/>
        </w:rPr>
        <w:t>-2580.</w:t>
      </w:r>
      <w:r w:rsidR="002B370B">
        <w:rPr>
          <w:sz w:val="24"/>
          <w:szCs w:val="24"/>
        </w:rPr>
        <w:t xml:space="preserve">  </w:t>
      </w:r>
      <w:bookmarkEnd w:id="7"/>
    </w:p>
  </w:endnote>
  <w:endnote w:id="7">
    <w:p w14:paraId="3EEE5101" w14:textId="29276B1A" w:rsidR="002B370B" w:rsidRPr="005D5769" w:rsidRDefault="002B370B">
      <w:pPr>
        <w:pStyle w:val="EndnoteText"/>
      </w:pPr>
      <w:r>
        <w:rPr>
          <w:rStyle w:val="EndnoteReference"/>
        </w:rPr>
        <w:endnoteRef/>
      </w:r>
      <w:r>
        <w:t xml:space="preserve"> </w:t>
      </w:r>
      <w:bookmarkStart w:id="8" w:name="_Hlk69474883"/>
      <w:r w:rsidRPr="005D5769">
        <w:rPr>
          <w:sz w:val="24"/>
          <w:szCs w:val="24"/>
        </w:rPr>
        <w:t xml:space="preserve">Rome Statute, </w:t>
      </w:r>
      <w:r w:rsidRPr="005D5769">
        <w:rPr>
          <w:i/>
          <w:sz w:val="24"/>
          <w:szCs w:val="24"/>
        </w:rPr>
        <w:t>supra</w:t>
      </w:r>
      <w:r w:rsidRPr="005D5769">
        <w:rPr>
          <w:sz w:val="24"/>
          <w:szCs w:val="24"/>
        </w:rPr>
        <w:t xml:space="preserve"> note </w:t>
      </w:r>
      <w:r w:rsidR="002C3E42" w:rsidRPr="005D5769">
        <w:rPr>
          <w:sz w:val="24"/>
          <w:szCs w:val="24"/>
        </w:rPr>
        <w:t>5</w:t>
      </w:r>
      <w:r w:rsidRPr="005D5769">
        <w:rPr>
          <w:sz w:val="24"/>
          <w:szCs w:val="24"/>
        </w:rPr>
        <w:t>,</w:t>
      </w:r>
      <w:r w:rsidRPr="005D5769">
        <w:rPr>
          <w:sz w:val="22"/>
          <w:szCs w:val="22"/>
        </w:rPr>
        <w:t xml:space="preserve"> </w:t>
      </w:r>
      <w:r w:rsidRPr="005D5769">
        <w:rPr>
          <w:sz w:val="24"/>
          <w:szCs w:val="24"/>
        </w:rPr>
        <w:t xml:space="preserve">art. 31(1)(d). </w:t>
      </w:r>
      <w:bookmarkEnd w:id="8"/>
    </w:p>
  </w:endnote>
  <w:endnote w:id="8">
    <w:p w14:paraId="29B7F0BF" w14:textId="7C34453D" w:rsidR="00615099" w:rsidRPr="005D5769" w:rsidRDefault="00615099" w:rsidP="00615099">
      <w:pPr>
        <w:pStyle w:val="EndnoteText"/>
        <w:rPr>
          <w:sz w:val="24"/>
          <w:szCs w:val="24"/>
        </w:rPr>
      </w:pPr>
      <w:r w:rsidRPr="005D5769">
        <w:rPr>
          <w:rStyle w:val="EndnoteReference"/>
          <w:sz w:val="24"/>
          <w:szCs w:val="24"/>
        </w:rPr>
        <w:endnoteRef/>
      </w:r>
      <w:r w:rsidRPr="005D5769">
        <w:rPr>
          <w:sz w:val="24"/>
          <w:szCs w:val="24"/>
        </w:rPr>
        <w:t xml:space="preserve"> </w:t>
      </w:r>
      <w:bookmarkStart w:id="9" w:name="_Hlk69722203"/>
      <w:proofErr w:type="spellStart"/>
      <w:r w:rsidR="005D5769" w:rsidRPr="00B5762C">
        <w:rPr>
          <w:sz w:val="24"/>
          <w:szCs w:val="24"/>
        </w:rPr>
        <w:t>Ongwen</w:t>
      </w:r>
      <w:proofErr w:type="spellEnd"/>
      <w:r w:rsidR="005D5769" w:rsidRPr="00B5762C">
        <w:rPr>
          <w:sz w:val="24"/>
          <w:szCs w:val="24"/>
        </w:rPr>
        <w:t>, </w:t>
      </w:r>
      <w:r w:rsidR="005D5769" w:rsidRPr="00B5762C">
        <w:rPr>
          <w:i/>
          <w:iCs/>
          <w:sz w:val="24"/>
          <w:szCs w:val="24"/>
        </w:rPr>
        <w:t>supra </w:t>
      </w:r>
      <w:r w:rsidR="005D5769" w:rsidRPr="00B5762C">
        <w:rPr>
          <w:sz w:val="24"/>
          <w:szCs w:val="24"/>
        </w:rPr>
        <w:t>note 1, </w:t>
      </w:r>
      <w:r w:rsidR="006607A9" w:rsidRPr="005D5769">
        <w:rPr>
          <w:sz w:val="24"/>
          <w:szCs w:val="24"/>
        </w:rPr>
        <w:t xml:space="preserve">¶¶ </w:t>
      </w:r>
      <w:bookmarkEnd w:id="9"/>
      <w:r w:rsidR="006607A9" w:rsidRPr="005D5769">
        <w:rPr>
          <w:sz w:val="24"/>
          <w:szCs w:val="24"/>
        </w:rPr>
        <w:t>2585,2591</w:t>
      </w:r>
      <w:r w:rsidR="004F4235" w:rsidRPr="005D5769">
        <w:rPr>
          <w:sz w:val="24"/>
          <w:szCs w:val="24"/>
        </w:rPr>
        <w:t>,2668.</w:t>
      </w:r>
      <w:r w:rsidR="006607A9" w:rsidRPr="005D5769">
        <w:rPr>
          <w:sz w:val="24"/>
          <w:szCs w:val="24"/>
        </w:rPr>
        <w:t xml:space="preserve"> </w:t>
      </w:r>
    </w:p>
  </w:endnote>
  <w:endnote w:id="9">
    <w:p w14:paraId="109BA57C" w14:textId="530E40CA" w:rsidR="005F5D13" w:rsidRPr="005D5769" w:rsidRDefault="005F5D13">
      <w:pPr>
        <w:pStyle w:val="EndnoteText"/>
        <w:rPr>
          <w:sz w:val="24"/>
          <w:szCs w:val="24"/>
        </w:rPr>
      </w:pPr>
      <w:r w:rsidRPr="005D5769">
        <w:rPr>
          <w:rStyle w:val="EndnoteReference"/>
          <w:sz w:val="24"/>
          <w:szCs w:val="24"/>
        </w:rPr>
        <w:endnoteRef/>
      </w:r>
      <w:r w:rsidR="004F4235" w:rsidRPr="005D5769">
        <w:rPr>
          <w:sz w:val="24"/>
          <w:szCs w:val="24"/>
        </w:rPr>
        <w:t xml:space="preserve"> </w:t>
      </w:r>
      <w:bookmarkStart w:id="10" w:name="_Hlk70360409"/>
      <w:r w:rsidR="004F4235" w:rsidRPr="005D5769">
        <w:rPr>
          <w:i/>
          <w:sz w:val="24"/>
          <w:szCs w:val="24"/>
        </w:rPr>
        <w:t>Id.</w:t>
      </w:r>
      <w:r w:rsidR="004F4235" w:rsidRPr="005D5769">
        <w:rPr>
          <w:sz w:val="24"/>
          <w:szCs w:val="24"/>
        </w:rPr>
        <w:t xml:space="preserve"> ¶¶ </w:t>
      </w:r>
      <w:bookmarkEnd w:id="10"/>
      <w:r w:rsidR="004F4235" w:rsidRPr="005D5769">
        <w:rPr>
          <w:sz w:val="24"/>
          <w:szCs w:val="24"/>
        </w:rPr>
        <w:t>2619,2640,2668.</w:t>
      </w:r>
    </w:p>
  </w:endnote>
  <w:endnote w:id="10">
    <w:p w14:paraId="47C47A8B" w14:textId="158FEEC6" w:rsidR="002B370B" w:rsidRDefault="002B370B">
      <w:pPr>
        <w:pStyle w:val="EndnoteText"/>
      </w:pPr>
      <w:r w:rsidRPr="005D5769">
        <w:rPr>
          <w:rStyle w:val="EndnoteReference"/>
        </w:rPr>
        <w:endnoteRef/>
      </w:r>
      <w:r w:rsidRPr="005D5769">
        <w:t xml:space="preserve"> </w:t>
      </w:r>
      <w:r w:rsidR="00C91740" w:rsidRPr="00C91740">
        <w:rPr>
          <w:i/>
          <w:sz w:val="24"/>
          <w:szCs w:val="24"/>
        </w:rPr>
        <w:t xml:space="preserve"> </w:t>
      </w:r>
      <w:r w:rsidR="00C91740" w:rsidRPr="005D5769">
        <w:rPr>
          <w:i/>
          <w:sz w:val="24"/>
          <w:szCs w:val="24"/>
        </w:rPr>
        <w:t>Id.</w:t>
      </w:r>
      <w:r w:rsidR="00C91740" w:rsidRPr="005D5769">
        <w:rPr>
          <w:sz w:val="24"/>
          <w:szCs w:val="24"/>
        </w:rPr>
        <w:t xml:space="preserve"> ¶</w:t>
      </w:r>
      <w:r w:rsidRPr="005D5769">
        <w:rPr>
          <w:sz w:val="24"/>
          <w:szCs w:val="24"/>
        </w:rPr>
        <w:t>2672.</w:t>
      </w:r>
      <w:r w:rsidRPr="005D5769">
        <w:t xml:space="preserve">  </w:t>
      </w:r>
    </w:p>
  </w:endnote>
  <w:endnote w:id="11">
    <w:p w14:paraId="26818EE2" w14:textId="72720759" w:rsidR="002B3A86" w:rsidRPr="00B5762C" w:rsidRDefault="002B3A86" w:rsidP="002B3A86">
      <w:pPr>
        <w:pStyle w:val="EndnoteText"/>
        <w:rPr>
          <w:sz w:val="24"/>
          <w:szCs w:val="24"/>
        </w:rPr>
      </w:pPr>
      <w:r w:rsidRPr="00B5762C">
        <w:rPr>
          <w:rStyle w:val="EndnoteReference"/>
          <w:sz w:val="24"/>
          <w:szCs w:val="24"/>
        </w:rPr>
        <w:endnoteRef/>
      </w:r>
      <w:r w:rsidRPr="00B5762C">
        <w:rPr>
          <w:sz w:val="24"/>
          <w:szCs w:val="24"/>
        </w:rPr>
        <w:t xml:space="preserve"> </w:t>
      </w:r>
      <w:bookmarkStart w:id="11" w:name="_Hlk65840253"/>
      <w:bookmarkStart w:id="12" w:name="_Hlk67499416"/>
      <w:r w:rsidR="00C91740" w:rsidRPr="005D5769">
        <w:rPr>
          <w:i/>
          <w:sz w:val="24"/>
          <w:szCs w:val="24"/>
        </w:rPr>
        <w:t>Id.</w:t>
      </w:r>
      <w:r w:rsidR="00C91740" w:rsidRPr="005D5769">
        <w:rPr>
          <w:sz w:val="24"/>
          <w:szCs w:val="24"/>
        </w:rPr>
        <w:t xml:space="preserve"> ¶</w:t>
      </w:r>
      <w:r w:rsidRPr="00B5762C">
        <w:rPr>
          <w:sz w:val="24"/>
          <w:szCs w:val="24"/>
        </w:rPr>
        <w:t>2672</w:t>
      </w:r>
      <w:bookmarkEnd w:id="11"/>
      <w:r w:rsidR="002C3E42">
        <w:rPr>
          <w:sz w:val="24"/>
          <w:szCs w:val="24"/>
        </w:rPr>
        <w:t>.</w:t>
      </w:r>
    </w:p>
    <w:bookmarkEnd w:id="12"/>
  </w:endnote>
  <w:endnote w:id="12">
    <w:p w14:paraId="3955BC9A" w14:textId="1EFFF429" w:rsidR="00AF3B2B" w:rsidRPr="00B5762C" w:rsidRDefault="00AF3B2B">
      <w:pPr>
        <w:pStyle w:val="EndnoteText"/>
        <w:rPr>
          <w:sz w:val="24"/>
          <w:szCs w:val="24"/>
        </w:rPr>
      </w:pPr>
      <w:r w:rsidRPr="00B5762C">
        <w:rPr>
          <w:rStyle w:val="EndnoteReference"/>
          <w:sz w:val="24"/>
          <w:szCs w:val="24"/>
        </w:rPr>
        <w:endnoteRef/>
      </w:r>
      <w:r w:rsidRPr="00B5762C">
        <w:rPr>
          <w:sz w:val="24"/>
          <w:szCs w:val="24"/>
        </w:rPr>
        <w:t xml:space="preserve"> </w:t>
      </w:r>
      <w:r w:rsidR="00C91740" w:rsidRPr="005D5769">
        <w:rPr>
          <w:i/>
          <w:sz w:val="24"/>
          <w:szCs w:val="24"/>
        </w:rPr>
        <w:t>Id.</w:t>
      </w:r>
      <w:r w:rsidR="00C91740" w:rsidRPr="005D5769">
        <w:rPr>
          <w:sz w:val="24"/>
          <w:szCs w:val="24"/>
        </w:rPr>
        <w:t xml:space="preserve"> ¶¶</w:t>
      </w:r>
      <w:r w:rsidR="00C91740">
        <w:rPr>
          <w:sz w:val="24"/>
          <w:szCs w:val="24"/>
        </w:rPr>
        <w:t xml:space="preserve"> 2874,2973,3020.</w:t>
      </w:r>
    </w:p>
  </w:endnote>
  <w:endnote w:id="13">
    <w:p w14:paraId="29312661" w14:textId="36325375" w:rsidR="00CF788F" w:rsidRPr="00B5762C" w:rsidRDefault="00CF788F">
      <w:pPr>
        <w:pStyle w:val="EndnoteText"/>
        <w:rPr>
          <w:sz w:val="24"/>
          <w:szCs w:val="24"/>
        </w:rPr>
      </w:pPr>
      <w:r w:rsidRPr="00B5762C">
        <w:rPr>
          <w:rStyle w:val="EndnoteReference"/>
          <w:sz w:val="24"/>
          <w:szCs w:val="24"/>
        </w:rPr>
        <w:endnoteRef/>
      </w:r>
      <w:r w:rsidRPr="00B5762C">
        <w:rPr>
          <w:sz w:val="24"/>
          <w:szCs w:val="24"/>
        </w:rPr>
        <w:t xml:space="preserve"> </w:t>
      </w:r>
      <w:r w:rsidR="0004625A" w:rsidRPr="00B5762C">
        <w:rPr>
          <w:i/>
          <w:iCs/>
          <w:sz w:val="24"/>
          <w:szCs w:val="24"/>
        </w:rPr>
        <w:t>I</w:t>
      </w:r>
      <w:bookmarkStart w:id="13" w:name="_Hlk70347316"/>
      <w:r w:rsidR="0004625A" w:rsidRPr="00B5762C">
        <w:rPr>
          <w:i/>
          <w:iCs/>
          <w:sz w:val="24"/>
          <w:szCs w:val="24"/>
        </w:rPr>
        <w:t>d.</w:t>
      </w:r>
      <w:r w:rsidR="0004625A" w:rsidRPr="00B5762C">
        <w:rPr>
          <w:sz w:val="24"/>
          <w:szCs w:val="24"/>
        </w:rPr>
        <w:t xml:space="preserve"> ¶</w:t>
      </w:r>
      <w:r w:rsidR="0004625A">
        <w:rPr>
          <w:sz w:val="24"/>
          <w:szCs w:val="24"/>
        </w:rPr>
        <w:t>3046</w:t>
      </w:r>
      <w:r w:rsidR="002C3E42">
        <w:rPr>
          <w:sz w:val="24"/>
          <w:szCs w:val="24"/>
        </w:rPr>
        <w:t>.</w:t>
      </w:r>
      <w:bookmarkEnd w:id="13"/>
    </w:p>
  </w:endnote>
  <w:endnote w:id="14">
    <w:p w14:paraId="75BA66BC" w14:textId="6D438EB4" w:rsidR="001A1CC2" w:rsidRDefault="001A1CC2">
      <w:pPr>
        <w:pStyle w:val="EndnoteText"/>
      </w:pPr>
      <w:r>
        <w:rPr>
          <w:rStyle w:val="EndnoteReference"/>
        </w:rPr>
        <w:endnoteRef/>
      </w:r>
      <w:r>
        <w:t xml:space="preserve"> </w:t>
      </w:r>
      <w:bookmarkStart w:id="14" w:name="_Hlk70347708"/>
      <w:r w:rsidRPr="00C91740">
        <w:rPr>
          <w:i/>
          <w:iCs/>
          <w:sz w:val="24"/>
          <w:szCs w:val="24"/>
        </w:rPr>
        <w:t>Id.</w:t>
      </w:r>
      <w:r w:rsidRPr="00C91740">
        <w:rPr>
          <w:sz w:val="24"/>
          <w:szCs w:val="24"/>
        </w:rPr>
        <w:t xml:space="preserve"> ¶2750.</w:t>
      </w:r>
      <w:bookmarkEnd w:id="14"/>
    </w:p>
  </w:endnote>
  <w:endnote w:id="15">
    <w:p w14:paraId="31E46733" w14:textId="231DF9C8" w:rsidR="001F2C63" w:rsidRPr="00B5762C" w:rsidRDefault="001F2C63" w:rsidP="001F2C63">
      <w:pPr>
        <w:pStyle w:val="EndnoteText"/>
        <w:rPr>
          <w:sz w:val="24"/>
          <w:szCs w:val="24"/>
        </w:rPr>
      </w:pPr>
      <w:r w:rsidRPr="00B5762C">
        <w:rPr>
          <w:rStyle w:val="EndnoteReference"/>
          <w:sz w:val="24"/>
          <w:szCs w:val="24"/>
        </w:rPr>
        <w:endnoteRef/>
      </w:r>
      <w:r w:rsidRPr="00B5762C">
        <w:rPr>
          <w:sz w:val="24"/>
          <w:szCs w:val="24"/>
        </w:rPr>
        <w:t xml:space="preserve"> </w:t>
      </w:r>
      <w:bookmarkStart w:id="15" w:name="_Hlk70347330"/>
      <w:r w:rsidRPr="00B5762C">
        <w:rPr>
          <w:i/>
          <w:iCs/>
          <w:sz w:val="24"/>
          <w:szCs w:val="24"/>
        </w:rPr>
        <w:t>Id.</w:t>
      </w:r>
      <w:r w:rsidRPr="00B5762C">
        <w:rPr>
          <w:sz w:val="24"/>
          <w:szCs w:val="24"/>
        </w:rPr>
        <w:t xml:space="preserve"> ¶3071</w:t>
      </w:r>
      <w:r w:rsidR="002C3E42">
        <w:rPr>
          <w:sz w:val="24"/>
          <w:szCs w:val="24"/>
        </w:rPr>
        <w:t>.</w:t>
      </w:r>
      <w:bookmarkEnd w:id="15"/>
    </w:p>
  </w:endnote>
  <w:endnote w:id="16">
    <w:p w14:paraId="2257CC5F" w14:textId="1499521C" w:rsidR="001F2C63" w:rsidRPr="00B5762C" w:rsidRDefault="001F2C63" w:rsidP="001F2C63">
      <w:pPr>
        <w:pStyle w:val="EndnoteText"/>
        <w:rPr>
          <w:color w:val="FF0000"/>
          <w:sz w:val="24"/>
          <w:szCs w:val="24"/>
        </w:rPr>
      </w:pPr>
      <w:r w:rsidRPr="00B5762C">
        <w:rPr>
          <w:rStyle w:val="EndnoteReference"/>
          <w:sz w:val="24"/>
          <w:szCs w:val="24"/>
        </w:rPr>
        <w:endnoteRef/>
      </w:r>
      <w:r w:rsidRPr="00B5762C">
        <w:rPr>
          <w:sz w:val="24"/>
          <w:szCs w:val="24"/>
        </w:rPr>
        <w:t xml:space="preserve"> </w:t>
      </w:r>
      <w:r w:rsidR="00E9467E" w:rsidRPr="00C91740">
        <w:rPr>
          <w:i/>
          <w:iCs/>
          <w:sz w:val="24"/>
          <w:szCs w:val="24"/>
        </w:rPr>
        <w:t>Id.</w:t>
      </w:r>
      <w:r w:rsidR="00E9467E" w:rsidRPr="00C91740">
        <w:rPr>
          <w:sz w:val="24"/>
          <w:szCs w:val="24"/>
        </w:rPr>
        <w:t xml:space="preserve"> ¶2744.</w:t>
      </w:r>
    </w:p>
  </w:endnote>
  <w:endnote w:id="17">
    <w:p w14:paraId="4BCE34B2" w14:textId="5D374B51" w:rsidR="00807C1B" w:rsidRPr="00B5762C" w:rsidRDefault="00807C1B" w:rsidP="00807C1B">
      <w:pPr>
        <w:pStyle w:val="EndnoteText"/>
        <w:rPr>
          <w:sz w:val="24"/>
          <w:szCs w:val="24"/>
        </w:rPr>
      </w:pPr>
      <w:r w:rsidRPr="00B5762C">
        <w:rPr>
          <w:rStyle w:val="EndnoteReference"/>
          <w:sz w:val="24"/>
          <w:szCs w:val="24"/>
        </w:rPr>
        <w:endnoteRef/>
      </w:r>
      <w:r>
        <w:rPr>
          <w:sz w:val="24"/>
          <w:szCs w:val="24"/>
        </w:rPr>
        <w:t xml:space="preserve"> </w:t>
      </w:r>
      <w:bookmarkStart w:id="16" w:name="_Hlk70347803"/>
      <w:r w:rsidRPr="00B5762C">
        <w:rPr>
          <w:i/>
          <w:iCs/>
          <w:sz w:val="24"/>
          <w:szCs w:val="24"/>
        </w:rPr>
        <w:t>Id.</w:t>
      </w:r>
      <w:r w:rsidRPr="00B5762C">
        <w:rPr>
          <w:sz w:val="24"/>
          <w:szCs w:val="24"/>
        </w:rPr>
        <w:t xml:space="preserve"> ¶</w:t>
      </w:r>
      <w:r>
        <w:rPr>
          <w:sz w:val="24"/>
          <w:szCs w:val="24"/>
        </w:rPr>
        <w:t>2748</w:t>
      </w:r>
      <w:r w:rsidR="002C3E42">
        <w:rPr>
          <w:sz w:val="24"/>
          <w:szCs w:val="24"/>
        </w:rPr>
        <w:t>.</w:t>
      </w:r>
      <w:bookmarkEnd w:id="16"/>
    </w:p>
  </w:endnote>
  <w:endnote w:id="18">
    <w:p w14:paraId="6B64A3F2" w14:textId="15E00B81" w:rsidR="00BD4120" w:rsidRPr="00B5762C" w:rsidRDefault="00BD4120" w:rsidP="00BD4120">
      <w:pPr>
        <w:pStyle w:val="EndnoteText"/>
        <w:rPr>
          <w:sz w:val="24"/>
          <w:szCs w:val="24"/>
        </w:rPr>
      </w:pPr>
      <w:r w:rsidRPr="00B5762C">
        <w:rPr>
          <w:rStyle w:val="EndnoteReference"/>
          <w:sz w:val="24"/>
          <w:szCs w:val="24"/>
        </w:rPr>
        <w:endnoteRef/>
      </w:r>
      <w:r w:rsidRPr="00B5762C">
        <w:rPr>
          <w:sz w:val="24"/>
          <w:szCs w:val="24"/>
        </w:rPr>
        <w:t xml:space="preserve"> </w:t>
      </w:r>
      <w:r w:rsidRPr="00B5762C">
        <w:rPr>
          <w:i/>
          <w:iCs/>
          <w:sz w:val="24"/>
          <w:szCs w:val="24"/>
        </w:rPr>
        <w:t>Id.</w:t>
      </w:r>
      <w:r w:rsidRPr="00B5762C">
        <w:rPr>
          <w:sz w:val="24"/>
          <w:szCs w:val="24"/>
        </w:rPr>
        <w:t xml:space="preserve"> ¶</w:t>
      </w:r>
      <w:r>
        <w:rPr>
          <w:sz w:val="24"/>
          <w:szCs w:val="24"/>
        </w:rPr>
        <w:t>2722</w:t>
      </w:r>
      <w:r w:rsidR="002C3E42">
        <w:rPr>
          <w:sz w:val="24"/>
          <w:szCs w:val="24"/>
        </w:rPr>
        <w:t>.</w:t>
      </w:r>
    </w:p>
  </w:endnote>
  <w:endnote w:id="19">
    <w:p w14:paraId="0EF25DAC" w14:textId="12A69EC5" w:rsidR="00BD4120" w:rsidRPr="00B5762C" w:rsidRDefault="00BD4120" w:rsidP="00BD4120">
      <w:pPr>
        <w:pStyle w:val="EndnoteText"/>
        <w:rPr>
          <w:sz w:val="24"/>
          <w:szCs w:val="24"/>
        </w:rPr>
      </w:pPr>
      <w:r w:rsidRPr="00B5762C">
        <w:rPr>
          <w:rStyle w:val="EndnoteReference"/>
          <w:sz w:val="24"/>
          <w:szCs w:val="24"/>
        </w:rPr>
        <w:endnoteRef/>
      </w:r>
      <w:r w:rsidRPr="00B5762C">
        <w:rPr>
          <w:sz w:val="24"/>
          <w:szCs w:val="24"/>
        </w:rPr>
        <w:t xml:space="preserve"> </w:t>
      </w:r>
      <w:r w:rsidRPr="00B5762C">
        <w:rPr>
          <w:i/>
          <w:iCs/>
          <w:sz w:val="24"/>
          <w:szCs w:val="24"/>
        </w:rPr>
        <w:t>Id.</w:t>
      </w:r>
      <w:r w:rsidRPr="00B5762C">
        <w:rPr>
          <w:sz w:val="24"/>
          <w:szCs w:val="24"/>
        </w:rPr>
        <w:t xml:space="preserve"> ¶</w:t>
      </w:r>
      <w:r>
        <w:rPr>
          <w:sz w:val="24"/>
          <w:szCs w:val="24"/>
        </w:rPr>
        <w:t>2722</w:t>
      </w:r>
      <w:r w:rsidR="002C3E42">
        <w:rPr>
          <w:sz w:val="24"/>
          <w:szCs w:val="24"/>
        </w:rPr>
        <w:t>.</w:t>
      </w:r>
    </w:p>
  </w:endnote>
  <w:endnote w:id="20">
    <w:p w14:paraId="50AA764D" w14:textId="77777777" w:rsidR="000D4BC1" w:rsidRPr="00B5762C" w:rsidRDefault="000D4BC1" w:rsidP="000D4BC1">
      <w:pPr>
        <w:pStyle w:val="EndnoteText"/>
        <w:rPr>
          <w:sz w:val="24"/>
          <w:szCs w:val="24"/>
        </w:rPr>
      </w:pPr>
      <w:r w:rsidRPr="00B5762C">
        <w:rPr>
          <w:rStyle w:val="EndnoteReference"/>
          <w:sz w:val="24"/>
          <w:szCs w:val="24"/>
        </w:rPr>
        <w:endnoteRef/>
      </w:r>
      <w:r w:rsidRPr="00B5762C">
        <w:rPr>
          <w:sz w:val="24"/>
          <w:szCs w:val="24"/>
        </w:rPr>
        <w:t xml:space="preserve"> </w:t>
      </w:r>
      <w:bookmarkStart w:id="17" w:name="_Hlk68015304"/>
      <w:r w:rsidR="0004625A" w:rsidRPr="0004625A">
        <w:rPr>
          <w:i/>
          <w:sz w:val="24"/>
          <w:szCs w:val="24"/>
        </w:rPr>
        <w:t>Id.</w:t>
      </w:r>
      <w:r w:rsidR="0004625A" w:rsidRPr="0004625A">
        <w:rPr>
          <w:sz w:val="24"/>
          <w:szCs w:val="24"/>
        </w:rPr>
        <w:t xml:space="preserve"> ¶¶ </w:t>
      </w:r>
      <w:r w:rsidR="00FF48BC">
        <w:rPr>
          <w:sz w:val="24"/>
          <w:szCs w:val="24"/>
        </w:rPr>
        <w:t>3092</w:t>
      </w:r>
      <w:r w:rsidR="0004625A" w:rsidRPr="0004625A">
        <w:rPr>
          <w:sz w:val="24"/>
          <w:szCs w:val="24"/>
        </w:rPr>
        <w:t xml:space="preserve">, </w:t>
      </w:r>
      <w:r w:rsidR="00FF48BC">
        <w:rPr>
          <w:sz w:val="24"/>
          <w:szCs w:val="24"/>
        </w:rPr>
        <w:t>3093</w:t>
      </w:r>
      <w:r w:rsidR="0004625A" w:rsidRPr="0004625A">
        <w:rPr>
          <w:sz w:val="24"/>
          <w:szCs w:val="24"/>
        </w:rPr>
        <w:t>.</w:t>
      </w:r>
      <w:bookmarkEnd w:id="17"/>
    </w:p>
  </w:endnote>
  <w:endnote w:id="21">
    <w:p w14:paraId="36893F31" w14:textId="77777777" w:rsidR="002B3A86" w:rsidRPr="00B5762C" w:rsidRDefault="002B3A86">
      <w:pPr>
        <w:pStyle w:val="EndnoteText"/>
        <w:rPr>
          <w:sz w:val="24"/>
          <w:szCs w:val="24"/>
        </w:rPr>
      </w:pPr>
      <w:r w:rsidRPr="00B5762C">
        <w:rPr>
          <w:rStyle w:val="EndnoteReference"/>
          <w:sz w:val="24"/>
          <w:szCs w:val="24"/>
        </w:rPr>
        <w:endnoteRef/>
      </w:r>
      <w:r w:rsidRPr="00B5762C">
        <w:rPr>
          <w:sz w:val="24"/>
          <w:szCs w:val="24"/>
        </w:rPr>
        <w:t xml:space="preserve"> </w:t>
      </w:r>
      <w:r w:rsidR="00FF48BC" w:rsidRPr="00B5762C">
        <w:rPr>
          <w:i/>
          <w:iCs/>
          <w:sz w:val="24"/>
          <w:szCs w:val="24"/>
        </w:rPr>
        <w:t>Id.</w:t>
      </w:r>
      <w:r w:rsidR="00FF48BC" w:rsidRPr="00B5762C">
        <w:rPr>
          <w:sz w:val="24"/>
          <w:szCs w:val="24"/>
        </w:rPr>
        <w:t xml:space="preserve"> ¶</w:t>
      </w:r>
      <w:r w:rsidR="00FF48BC">
        <w:rPr>
          <w:sz w:val="24"/>
          <w:szCs w:val="24"/>
        </w:rPr>
        <w:t>3106</w:t>
      </w:r>
    </w:p>
  </w:endnote>
  <w:endnote w:id="22">
    <w:p w14:paraId="4A49FEC3" w14:textId="77777777" w:rsidR="005357E7" w:rsidRPr="00DE76AA" w:rsidRDefault="005357E7">
      <w:pPr>
        <w:pStyle w:val="EndnoteText"/>
        <w:rPr>
          <w:color w:val="000000" w:themeColor="text1"/>
          <w:sz w:val="24"/>
          <w:szCs w:val="24"/>
        </w:rPr>
      </w:pPr>
      <w:r w:rsidRPr="00DE76AA">
        <w:rPr>
          <w:rStyle w:val="EndnoteReference"/>
          <w:color w:val="000000" w:themeColor="text1"/>
          <w:sz w:val="24"/>
          <w:szCs w:val="24"/>
        </w:rPr>
        <w:endnoteRef/>
      </w:r>
      <w:r w:rsidRPr="00DE76AA">
        <w:rPr>
          <w:color w:val="000000" w:themeColor="text1"/>
          <w:sz w:val="24"/>
          <w:szCs w:val="24"/>
        </w:rPr>
        <w:t xml:space="preserve"> </w:t>
      </w:r>
      <w:r w:rsidR="00BA2F24" w:rsidRPr="00DE76AA">
        <w:rPr>
          <w:color w:val="000000" w:themeColor="text1"/>
          <w:sz w:val="24"/>
          <w:szCs w:val="24"/>
        </w:rPr>
        <w:t xml:space="preserve">Lino O. Ogora, </w:t>
      </w:r>
      <w:r w:rsidR="00BA2F24" w:rsidRPr="00DE76AA">
        <w:rPr>
          <w:i/>
          <w:color w:val="000000" w:themeColor="text1"/>
          <w:sz w:val="24"/>
          <w:szCs w:val="24"/>
        </w:rPr>
        <w:t xml:space="preserve">Just or Unjust? Mixed Reactions on Whether Ongwen Should be on Trial, </w:t>
      </w:r>
      <w:r w:rsidR="00BA2F24" w:rsidRPr="00DE76AA">
        <w:rPr>
          <w:color w:val="000000" w:themeColor="text1"/>
          <w:sz w:val="24"/>
          <w:szCs w:val="24"/>
        </w:rPr>
        <w:t xml:space="preserve">International Justice Monitor, (April 24, 2017), </w:t>
      </w:r>
      <w:hyperlink r:id="rId3" w:history="1">
        <w:r w:rsidR="00BA2F24" w:rsidRPr="00DE76AA">
          <w:rPr>
            <w:rStyle w:val="Hyperlink"/>
            <w:color w:val="000000" w:themeColor="text1"/>
            <w:sz w:val="24"/>
            <w:szCs w:val="24"/>
          </w:rPr>
          <w:t>https://www.ijmonitor.org/2017/04/just-or-unjust-mixed-reactions-on-whether-ongwen-should-be-on-trial/</w:t>
        </w:r>
      </w:hyperlink>
      <w:r w:rsidR="00BA2F24" w:rsidRPr="00DE76AA">
        <w:rPr>
          <w:color w:val="000000" w:themeColor="text1"/>
          <w:sz w:val="24"/>
          <w:szCs w:val="24"/>
        </w:rPr>
        <w:t xml:space="preserve"> </w:t>
      </w:r>
    </w:p>
  </w:endnote>
  <w:endnote w:id="23">
    <w:p w14:paraId="47038420" w14:textId="47F7EB49" w:rsidR="00863B8A" w:rsidRPr="00DE76AA" w:rsidRDefault="00863B8A">
      <w:pPr>
        <w:pStyle w:val="EndnoteText"/>
        <w:rPr>
          <w:color w:val="000000" w:themeColor="text1"/>
        </w:rPr>
      </w:pPr>
      <w:r w:rsidRPr="00DE76AA">
        <w:rPr>
          <w:rStyle w:val="EndnoteReference"/>
          <w:color w:val="000000" w:themeColor="text1"/>
        </w:rPr>
        <w:endnoteRef/>
      </w:r>
      <w:r w:rsidRPr="00DE76AA">
        <w:rPr>
          <w:color w:val="000000" w:themeColor="text1"/>
        </w:rPr>
        <w:t xml:space="preserve"> </w:t>
      </w:r>
      <w:r w:rsidRPr="00DE76AA">
        <w:rPr>
          <w:color w:val="000000" w:themeColor="text1"/>
          <w:sz w:val="24"/>
          <w:szCs w:val="24"/>
        </w:rPr>
        <w:t xml:space="preserve">Julius Barigaba, </w:t>
      </w:r>
      <w:r w:rsidRPr="00DE76AA">
        <w:rPr>
          <w:i/>
          <w:color w:val="000000" w:themeColor="text1"/>
          <w:sz w:val="24"/>
          <w:szCs w:val="24"/>
        </w:rPr>
        <w:t>Ongwen to appeal ICC verdict, claims mental disability,</w:t>
      </w:r>
      <w:r w:rsidRPr="00DE76AA">
        <w:rPr>
          <w:color w:val="000000" w:themeColor="text1"/>
          <w:sz w:val="24"/>
          <w:szCs w:val="24"/>
        </w:rPr>
        <w:t xml:space="preserve"> The EastAfrican, (February 15,2021), </w:t>
      </w:r>
      <w:hyperlink r:id="rId4" w:history="1">
        <w:r w:rsidRPr="00DE76AA">
          <w:rPr>
            <w:rStyle w:val="Hyperlink"/>
            <w:color w:val="000000" w:themeColor="text1"/>
            <w:sz w:val="24"/>
            <w:szCs w:val="24"/>
          </w:rPr>
          <w:t>https://www.theeastafrican.co.ke/tea/news/east-africa/ongwen-to-appeal-icc-verdict-3291646</w:t>
        </w:r>
      </w:hyperlink>
      <w:r w:rsidRPr="00DE76AA">
        <w:rPr>
          <w:color w:val="000000" w:themeColor="text1"/>
        </w:rPr>
        <w:t xml:space="preserve"> </w:t>
      </w:r>
      <w:r w:rsidR="00F959FA" w:rsidRPr="00DE76AA">
        <w:rPr>
          <w:color w:val="000000" w:themeColor="text1"/>
        </w:rPr>
        <w:t xml:space="preserve"> </w:t>
      </w:r>
    </w:p>
  </w:endnote>
  <w:endnote w:id="24">
    <w:p w14:paraId="2AA5CAE8" w14:textId="53C676CA" w:rsidR="00DB5022" w:rsidRPr="00DE76AA" w:rsidRDefault="00DB5022">
      <w:pPr>
        <w:pStyle w:val="EndnoteText"/>
        <w:rPr>
          <w:color w:val="000000" w:themeColor="text1"/>
        </w:rPr>
      </w:pPr>
      <w:r w:rsidRPr="00DE76AA">
        <w:rPr>
          <w:rStyle w:val="EndnoteReference"/>
          <w:color w:val="000000" w:themeColor="text1"/>
        </w:rPr>
        <w:endnoteRef/>
      </w:r>
      <w:r w:rsidRPr="00DE76AA">
        <w:rPr>
          <w:color w:val="000000" w:themeColor="text1"/>
        </w:rPr>
        <w:t xml:space="preserve"> </w:t>
      </w:r>
      <w:r w:rsidRPr="00DE76AA">
        <w:rPr>
          <w:color w:val="000000" w:themeColor="text1"/>
          <w:sz w:val="24"/>
          <w:szCs w:val="24"/>
        </w:rPr>
        <w:t xml:space="preserve">Rome Statute, </w:t>
      </w:r>
      <w:r w:rsidRPr="00DE76AA">
        <w:rPr>
          <w:i/>
          <w:color w:val="000000" w:themeColor="text1"/>
          <w:sz w:val="24"/>
          <w:szCs w:val="24"/>
        </w:rPr>
        <w:t>supra</w:t>
      </w:r>
      <w:r w:rsidRPr="00DE76AA">
        <w:rPr>
          <w:color w:val="000000" w:themeColor="text1"/>
          <w:sz w:val="24"/>
          <w:szCs w:val="24"/>
        </w:rPr>
        <w:t xml:space="preserve"> note 5,</w:t>
      </w:r>
      <w:r w:rsidRPr="00DE76AA">
        <w:rPr>
          <w:color w:val="000000" w:themeColor="text1"/>
          <w:sz w:val="22"/>
          <w:szCs w:val="22"/>
        </w:rPr>
        <w:t xml:space="preserve"> </w:t>
      </w:r>
      <w:r w:rsidRPr="00DE76AA">
        <w:rPr>
          <w:color w:val="000000" w:themeColor="text1"/>
          <w:sz w:val="24"/>
          <w:szCs w:val="24"/>
        </w:rPr>
        <w:t>art. 31(1)(d).</w:t>
      </w:r>
    </w:p>
  </w:endnote>
  <w:endnote w:id="25">
    <w:p w14:paraId="65FEA7C2" w14:textId="7FC816B2" w:rsidR="008A6E36" w:rsidRPr="00DE76AA" w:rsidRDefault="008A6E36">
      <w:pPr>
        <w:pStyle w:val="EndnoteText"/>
        <w:rPr>
          <w:color w:val="000000" w:themeColor="text1"/>
        </w:rPr>
      </w:pPr>
      <w:r w:rsidRPr="00DE76AA">
        <w:rPr>
          <w:rStyle w:val="EndnoteReference"/>
          <w:color w:val="000000" w:themeColor="text1"/>
        </w:rPr>
        <w:endnoteRef/>
      </w:r>
      <w:r w:rsidRPr="00DE76AA">
        <w:rPr>
          <w:color w:val="000000" w:themeColor="text1"/>
        </w:rPr>
        <w:t xml:space="preserve"> </w:t>
      </w:r>
      <w:r w:rsidR="00DB5022" w:rsidRPr="00DE76AA">
        <w:rPr>
          <w:color w:val="000000" w:themeColor="text1"/>
          <w:sz w:val="24"/>
          <w:szCs w:val="24"/>
        </w:rPr>
        <w:t xml:space="preserve"> </w:t>
      </w:r>
      <w:r w:rsidR="00DB5022" w:rsidRPr="00DE76AA">
        <w:rPr>
          <w:i/>
          <w:color w:val="000000" w:themeColor="text1"/>
          <w:sz w:val="24"/>
          <w:szCs w:val="24"/>
        </w:rPr>
        <w:t>ld.</w:t>
      </w:r>
      <w:r w:rsidRPr="00DE76AA">
        <w:rPr>
          <w:color w:val="000000" w:themeColor="text1"/>
          <w:sz w:val="22"/>
          <w:szCs w:val="22"/>
        </w:rPr>
        <w:t xml:space="preserve"> </w:t>
      </w:r>
      <w:r w:rsidRPr="00DE76AA">
        <w:rPr>
          <w:color w:val="000000" w:themeColor="text1"/>
          <w:sz w:val="24"/>
          <w:szCs w:val="24"/>
        </w:rPr>
        <w:t>art. 8(2) (b) (xxvi),</w:t>
      </w:r>
      <w:r w:rsidRPr="00DE76AA">
        <w:rPr>
          <w:color w:val="000000" w:themeColor="text1"/>
          <w:sz w:val="22"/>
          <w:szCs w:val="22"/>
        </w:rPr>
        <w:t xml:space="preserve"> </w:t>
      </w:r>
      <w:r w:rsidRPr="00DE76AA">
        <w:rPr>
          <w:color w:val="000000" w:themeColor="text1"/>
          <w:sz w:val="24"/>
          <w:szCs w:val="24"/>
        </w:rPr>
        <w:t>Convention on the Rights of the Child, art. 38, (1) U.N. Doc. 1/44/49 (1989), Protocol Additional to the Geneva Conventions of 12 August 1949, and Relating to the Protection of Victims of International Armed Conflicts, June 8, 1977, art. 77(2), 1125 U.N.T.S. 3, 39</w:t>
      </w:r>
      <w:r w:rsidR="00F959FA" w:rsidRPr="00DE76AA">
        <w:rPr>
          <w:color w:val="000000" w:themeColor="text1"/>
          <w:sz w:val="24"/>
          <w:szCs w:val="24"/>
        </w:rPr>
        <w:t>.</w:t>
      </w:r>
    </w:p>
  </w:endnote>
  <w:endnote w:id="26">
    <w:p w14:paraId="13BF4F04" w14:textId="50C02C3F" w:rsidR="00461BB5" w:rsidRPr="00DE76AA" w:rsidRDefault="00461BB5" w:rsidP="000B1669">
      <w:pPr>
        <w:pStyle w:val="EndnoteText"/>
        <w:tabs>
          <w:tab w:val="left" w:pos="7050"/>
        </w:tabs>
        <w:rPr>
          <w:color w:val="000000" w:themeColor="text1"/>
          <w:sz w:val="24"/>
          <w:szCs w:val="24"/>
        </w:rPr>
      </w:pPr>
      <w:r w:rsidRPr="00DE76AA">
        <w:rPr>
          <w:rStyle w:val="EndnoteReference"/>
          <w:color w:val="000000" w:themeColor="text1"/>
          <w:sz w:val="24"/>
          <w:szCs w:val="24"/>
        </w:rPr>
        <w:endnoteRef/>
      </w:r>
      <w:r w:rsidRPr="00DE76AA">
        <w:rPr>
          <w:color w:val="000000" w:themeColor="text1"/>
          <w:sz w:val="24"/>
          <w:szCs w:val="24"/>
        </w:rPr>
        <w:t xml:space="preserve"> </w:t>
      </w:r>
      <w:r w:rsidR="00CD0629" w:rsidRPr="00DE76AA">
        <w:rPr>
          <w:rFonts w:cs="Calibri"/>
          <w:color w:val="000000" w:themeColor="text1"/>
          <w:sz w:val="24"/>
          <w:szCs w:val="24"/>
        </w:rPr>
        <w:t>Mark A. Drumbl,</w:t>
      </w:r>
      <w:r w:rsidR="00CD0629" w:rsidRPr="00DE76AA">
        <w:rPr>
          <w:color w:val="000000" w:themeColor="text1"/>
          <w:sz w:val="24"/>
          <w:szCs w:val="24"/>
        </w:rPr>
        <w:t xml:space="preserve"> </w:t>
      </w:r>
      <w:r w:rsidR="00CD0629" w:rsidRPr="00DE76AA">
        <w:rPr>
          <w:i/>
          <w:color w:val="000000" w:themeColor="text1"/>
          <w:sz w:val="24"/>
          <w:szCs w:val="24"/>
        </w:rPr>
        <w:t>Victims Who Victimiz</w:t>
      </w:r>
      <w:r w:rsidR="005E2A6C" w:rsidRPr="00DE76AA">
        <w:rPr>
          <w:i/>
          <w:color w:val="000000" w:themeColor="text1"/>
          <w:sz w:val="24"/>
          <w:szCs w:val="24"/>
        </w:rPr>
        <w:t>e,</w:t>
      </w:r>
      <w:r w:rsidR="005E2A6C" w:rsidRPr="00DE76AA">
        <w:rPr>
          <w:color w:val="000000" w:themeColor="text1"/>
          <w:sz w:val="24"/>
          <w:szCs w:val="24"/>
        </w:rPr>
        <w:t xml:space="preserve"> </w:t>
      </w:r>
      <w:proofErr w:type="gramStart"/>
      <w:r w:rsidR="005E2A6C" w:rsidRPr="00DE76AA">
        <w:rPr>
          <w:color w:val="000000" w:themeColor="text1"/>
          <w:sz w:val="24"/>
          <w:szCs w:val="24"/>
        </w:rPr>
        <w:t xml:space="preserve">4  </w:t>
      </w:r>
      <w:r w:rsidR="00A520C5" w:rsidRPr="00DE76AA">
        <w:rPr>
          <w:color w:val="000000" w:themeColor="text1"/>
          <w:sz w:val="24"/>
          <w:szCs w:val="24"/>
        </w:rPr>
        <w:t>LONDON</w:t>
      </w:r>
      <w:proofErr w:type="gramEnd"/>
      <w:r w:rsidR="00A520C5" w:rsidRPr="00DE76AA">
        <w:rPr>
          <w:color w:val="000000" w:themeColor="text1"/>
          <w:sz w:val="24"/>
          <w:szCs w:val="24"/>
        </w:rPr>
        <w:t xml:space="preserve"> REV. INT'L L.  </w:t>
      </w:r>
      <w:r w:rsidR="005E2A6C" w:rsidRPr="00DE76AA">
        <w:rPr>
          <w:color w:val="000000" w:themeColor="text1"/>
          <w:sz w:val="24"/>
          <w:szCs w:val="24"/>
        </w:rPr>
        <w:t>217,241  (2016)</w:t>
      </w:r>
      <w:r w:rsidR="00520B85" w:rsidRPr="00DE76AA">
        <w:rPr>
          <w:color w:val="000000" w:themeColor="text1"/>
          <w:sz w:val="24"/>
          <w:szCs w:val="24"/>
        </w:rPr>
        <w:t xml:space="preserve">;  Drumbl, </w:t>
      </w:r>
      <w:r w:rsidR="00520B85" w:rsidRPr="00DE76AA">
        <w:rPr>
          <w:i/>
          <w:color w:val="000000" w:themeColor="text1"/>
          <w:sz w:val="24"/>
          <w:szCs w:val="24"/>
        </w:rPr>
        <w:t xml:space="preserve">‘Getting’ an Unforgettable Gettable: The Trial of Dominic Ongwen, </w:t>
      </w:r>
      <w:r w:rsidR="00520B85" w:rsidRPr="00DE76AA">
        <w:rPr>
          <w:color w:val="000000" w:themeColor="text1"/>
          <w:sz w:val="24"/>
          <w:szCs w:val="24"/>
        </w:rPr>
        <w:t xml:space="preserve">Justice in Conflict (February 5, 2021), </w:t>
      </w:r>
      <w:hyperlink r:id="rId5" w:history="1">
        <w:r w:rsidR="00520B85" w:rsidRPr="00DE76AA">
          <w:rPr>
            <w:rStyle w:val="Hyperlink"/>
            <w:color w:val="000000" w:themeColor="text1"/>
            <w:sz w:val="24"/>
            <w:szCs w:val="24"/>
          </w:rPr>
          <w:t>https://justiceinconflict.org/2021/02/05/getting-an-unforgettable-gettable-the-trial-of-dominic-ongwen/</w:t>
        </w:r>
      </w:hyperlink>
      <w:r w:rsidR="00FF48BC" w:rsidRPr="00DE76AA">
        <w:rPr>
          <w:color w:val="000000" w:themeColor="text1"/>
          <w:sz w:val="24"/>
          <w:szCs w:val="24"/>
        </w:rPr>
        <w:t>.</w:t>
      </w:r>
      <w:r w:rsidR="000B1669" w:rsidRPr="00DE76AA">
        <w:rPr>
          <w:color w:val="000000" w:themeColor="text1"/>
          <w:sz w:val="24"/>
          <w:szCs w:val="24"/>
        </w:rPr>
        <w:tab/>
      </w:r>
    </w:p>
  </w:endnote>
  <w:endnote w:id="27">
    <w:p w14:paraId="19E04799" w14:textId="77777777" w:rsidR="00E712BF" w:rsidRPr="00DE76AA" w:rsidRDefault="00E712BF">
      <w:pPr>
        <w:pStyle w:val="EndnoteText"/>
        <w:rPr>
          <w:color w:val="000000" w:themeColor="text1"/>
          <w:sz w:val="24"/>
          <w:szCs w:val="24"/>
        </w:rPr>
      </w:pPr>
      <w:r w:rsidRPr="00DE76AA">
        <w:rPr>
          <w:rStyle w:val="EndnoteReference"/>
          <w:color w:val="000000" w:themeColor="text1"/>
          <w:sz w:val="24"/>
          <w:szCs w:val="24"/>
        </w:rPr>
        <w:endnoteRef/>
      </w:r>
      <w:r w:rsidRPr="00DE76AA">
        <w:rPr>
          <w:color w:val="000000" w:themeColor="text1"/>
          <w:sz w:val="24"/>
          <w:szCs w:val="24"/>
        </w:rPr>
        <w:t xml:space="preserve"> Prosecutor v. Thomas Lubanga, Case No. ICC-01/04-01/06, Judgment Pursuant to Article 74 of the Statute, (Mar.14, 2012)</w:t>
      </w:r>
      <w:r w:rsidR="00C24440" w:rsidRPr="00DE76AA">
        <w:rPr>
          <w:color w:val="000000" w:themeColor="text1"/>
          <w:sz w:val="24"/>
          <w:szCs w:val="24"/>
        </w:rPr>
        <w:t>, available at</w:t>
      </w:r>
      <w:r w:rsidR="00D259E1" w:rsidRPr="00DE76AA">
        <w:rPr>
          <w:color w:val="000000" w:themeColor="text1"/>
          <w:sz w:val="24"/>
          <w:szCs w:val="24"/>
        </w:rPr>
        <w:t xml:space="preserve"> </w:t>
      </w:r>
      <w:hyperlink r:id="rId6" w:history="1">
        <w:r w:rsidR="00D259E1" w:rsidRPr="00DE76AA">
          <w:rPr>
            <w:rStyle w:val="Hyperlink"/>
            <w:color w:val="000000" w:themeColor="text1"/>
            <w:sz w:val="24"/>
            <w:szCs w:val="24"/>
          </w:rPr>
          <w:t>https://www.icccpi.int/CourtRecords/CR2012_03942.PDF</w:t>
        </w:r>
      </w:hyperlink>
      <w:r w:rsidR="00C24440" w:rsidRPr="00DE76AA">
        <w:rPr>
          <w:color w:val="000000" w:themeColor="text1"/>
          <w:sz w:val="24"/>
          <w:szCs w:val="24"/>
        </w:rPr>
        <w:t xml:space="preserve"> </w:t>
      </w:r>
    </w:p>
  </w:endnote>
  <w:endnote w:id="28">
    <w:p w14:paraId="1D482A5B" w14:textId="3A1B9969" w:rsidR="00F6654E" w:rsidRPr="00DE76AA" w:rsidRDefault="00F6654E">
      <w:pPr>
        <w:pStyle w:val="EndnoteText"/>
        <w:rPr>
          <w:color w:val="000000" w:themeColor="text1"/>
        </w:rPr>
      </w:pPr>
      <w:r w:rsidRPr="00DE76AA">
        <w:rPr>
          <w:rStyle w:val="EndnoteReference"/>
          <w:color w:val="000000" w:themeColor="text1"/>
        </w:rPr>
        <w:endnoteRef/>
      </w:r>
      <w:r w:rsidRPr="00DE76AA">
        <w:rPr>
          <w:color w:val="000000" w:themeColor="text1"/>
        </w:rPr>
        <w:t xml:space="preserve"> </w:t>
      </w:r>
      <w:r w:rsidRPr="00DE76AA">
        <w:rPr>
          <w:i/>
          <w:color w:val="000000" w:themeColor="text1"/>
          <w:sz w:val="24"/>
          <w:szCs w:val="24"/>
        </w:rPr>
        <w:t>Id.</w:t>
      </w:r>
      <w:r w:rsidRPr="00DE76AA">
        <w:rPr>
          <w:color w:val="000000" w:themeColor="text1"/>
          <w:sz w:val="24"/>
          <w:szCs w:val="24"/>
        </w:rPr>
        <w:t xml:space="preserve"> ¶¶ 103,105,479, Ongwen, </w:t>
      </w:r>
      <w:r w:rsidRPr="00DE76AA">
        <w:rPr>
          <w:i/>
          <w:iCs/>
          <w:color w:val="000000" w:themeColor="text1"/>
          <w:sz w:val="24"/>
          <w:szCs w:val="24"/>
        </w:rPr>
        <w:t>supra </w:t>
      </w:r>
      <w:r w:rsidRPr="00DE76AA">
        <w:rPr>
          <w:color w:val="000000" w:themeColor="text1"/>
          <w:sz w:val="24"/>
          <w:szCs w:val="24"/>
        </w:rPr>
        <w:t>note 1, ¶ 2672.</w:t>
      </w:r>
    </w:p>
  </w:endnote>
  <w:endnote w:id="29">
    <w:p w14:paraId="21ED3027" w14:textId="162F65C0" w:rsidR="00EF00E5" w:rsidRPr="00DE76AA" w:rsidRDefault="00EF00E5">
      <w:pPr>
        <w:pStyle w:val="EndnoteText"/>
        <w:rPr>
          <w:color w:val="000000" w:themeColor="text1"/>
          <w:sz w:val="24"/>
          <w:szCs w:val="24"/>
        </w:rPr>
      </w:pPr>
      <w:r w:rsidRPr="00DE76AA">
        <w:rPr>
          <w:rStyle w:val="EndnoteReference"/>
          <w:color w:val="000000" w:themeColor="text1"/>
          <w:sz w:val="24"/>
          <w:szCs w:val="24"/>
        </w:rPr>
        <w:endnoteRef/>
      </w:r>
      <w:r w:rsidRPr="00DE76AA">
        <w:rPr>
          <w:color w:val="000000" w:themeColor="text1"/>
          <w:sz w:val="24"/>
          <w:szCs w:val="24"/>
        </w:rPr>
        <w:t xml:space="preserve"> </w:t>
      </w:r>
      <w:bookmarkStart w:id="21" w:name="_Hlk67578024"/>
      <w:r w:rsidR="00246053" w:rsidRPr="00DE76AA">
        <w:rPr>
          <w:color w:val="000000" w:themeColor="text1"/>
          <w:sz w:val="24"/>
          <w:szCs w:val="24"/>
        </w:rPr>
        <w:t xml:space="preserve">For discussion see </w:t>
      </w:r>
      <w:r w:rsidR="005C637F" w:rsidRPr="00DE76AA">
        <w:rPr>
          <w:color w:val="000000" w:themeColor="text1"/>
          <w:sz w:val="24"/>
          <w:szCs w:val="24"/>
        </w:rPr>
        <w:t xml:space="preserve">Kerstin B. Carlson, </w:t>
      </w:r>
      <w:r w:rsidR="005C637F" w:rsidRPr="00DE76AA">
        <w:rPr>
          <w:i/>
          <w:color w:val="000000" w:themeColor="text1"/>
          <w:sz w:val="24"/>
          <w:szCs w:val="24"/>
        </w:rPr>
        <w:t>ICC judges ignored Ongwen’s background in guilty verdict: Why it’s a mistake,</w:t>
      </w:r>
      <w:r w:rsidR="005C637F" w:rsidRPr="00DE76AA">
        <w:rPr>
          <w:color w:val="000000" w:themeColor="text1"/>
          <w:sz w:val="24"/>
          <w:szCs w:val="24"/>
        </w:rPr>
        <w:t xml:space="preserve"> The Conversation (February 10, 2021), </w:t>
      </w:r>
      <w:hyperlink r:id="rId7" w:history="1">
        <w:r w:rsidR="005C637F" w:rsidRPr="00DE76AA">
          <w:rPr>
            <w:rStyle w:val="Hyperlink"/>
            <w:color w:val="000000" w:themeColor="text1"/>
            <w:sz w:val="24"/>
            <w:szCs w:val="24"/>
          </w:rPr>
          <w:t>https://theconversation.com/icc-judges-ignored-ongwens-background-in-guilty-verdict-why-its-a-mistake-154985</w:t>
        </w:r>
      </w:hyperlink>
      <w:bookmarkEnd w:id="21"/>
    </w:p>
  </w:endnote>
  <w:endnote w:id="30">
    <w:p w14:paraId="380B89D1" w14:textId="77777777" w:rsidR="00F959FA" w:rsidRPr="00B5762C" w:rsidRDefault="00F959FA" w:rsidP="00F959FA">
      <w:pPr>
        <w:pStyle w:val="EndnoteText"/>
        <w:rPr>
          <w:sz w:val="24"/>
          <w:szCs w:val="24"/>
        </w:rPr>
      </w:pPr>
      <w:r w:rsidRPr="00DE76AA">
        <w:rPr>
          <w:rStyle w:val="EndnoteReference"/>
          <w:color w:val="000000" w:themeColor="text1"/>
          <w:sz w:val="24"/>
          <w:szCs w:val="24"/>
        </w:rPr>
        <w:endnoteRef/>
      </w:r>
      <w:r w:rsidRPr="00DE76AA">
        <w:rPr>
          <w:color w:val="000000" w:themeColor="text1"/>
          <w:sz w:val="24"/>
          <w:szCs w:val="24"/>
        </w:rPr>
        <w:t xml:space="preserve"> </w:t>
      </w:r>
      <w:bookmarkStart w:id="22" w:name="_Hlk69722448"/>
      <w:r w:rsidRPr="00DE76AA">
        <w:rPr>
          <w:color w:val="000000" w:themeColor="text1"/>
          <w:sz w:val="24"/>
          <w:szCs w:val="24"/>
        </w:rPr>
        <w:t xml:space="preserve">For discussion see </w:t>
      </w:r>
      <w:bookmarkEnd w:id="22"/>
      <w:r w:rsidRPr="00DE76AA">
        <w:rPr>
          <w:color w:val="000000" w:themeColor="text1"/>
          <w:sz w:val="24"/>
          <w:szCs w:val="24"/>
        </w:rPr>
        <w:t xml:space="preserve">Barbora Hola and Thijs Bouwknegt, </w:t>
      </w:r>
      <w:r w:rsidRPr="00DE76AA">
        <w:rPr>
          <w:i/>
          <w:color w:val="000000" w:themeColor="text1"/>
          <w:sz w:val="24"/>
          <w:szCs w:val="24"/>
        </w:rPr>
        <w:t>Dominic Ongwen: the ICC’s Poster and Problem Child,</w:t>
      </w:r>
      <w:r w:rsidRPr="00DE76AA">
        <w:rPr>
          <w:color w:val="000000" w:themeColor="text1"/>
          <w:sz w:val="24"/>
          <w:szCs w:val="24"/>
        </w:rPr>
        <w:t xml:space="preserve"> Almendron (March 17,2020), </w:t>
      </w:r>
      <w:hyperlink r:id="rId8" w:history="1">
        <w:r w:rsidRPr="00DE76AA">
          <w:rPr>
            <w:rStyle w:val="Hyperlink"/>
            <w:color w:val="000000" w:themeColor="text1"/>
            <w:sz w:val="24"/>
            <w:szCs w:val="24"/>
          </w:rPr>
          <w:t>https://www.almendron.com/tribuna/dominic-ongwen-the-iccs-poster-and-problem-child/</w:t>
        </w:r>
      </w:hyperlink>
      <w:r w:rsidRPr="00B5762C">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F274" w14:textId="77777777" w:rsidR="00DE2386" w:rsidRDefault="00DE2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782B" w14:textId="77777777" w:rsidR="00DE2386" w:rsidRDefault="00DE2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4FF8" w14:textId="77777777" w:rsidR="00DE2386" w:rsidRDefault="00DE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9E06" w14:textId="77777777" w:rsidR="00284F98" w:rsidRDefault="00284F98" w:rsidP="00A352ED">
      <w:pPr>
        <w:spacing w:after="0" w:line="240" w:lineRule="auto"/>
      </w:pPr>
      <w:r>
        <w:separator/>
      </w:r>
    </w:p>
  </w:footnote>
  <w:footnote w:type="continuationSeparator" w:id="0">
    <w:p w14:paraId="2F47E205" w14:textId="77777777" w:rsidR="00284F98" w:rsidRDefault="00284F98" w:rsidP="00A3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5681" w14:textId="77777777" w:rsidR="00DE2386" w:rsidRDefault="00DE2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36B6" w14:textId="77777777" w:rsidR="00DE2386" w:rsidRDefault="00DE2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B61" w14:textId="77777777" w:rsidR="00DE2386" w:rsidRDefault="00DE238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ya Scimeca">
    <w15:presenceInfo w15:providerId="None" w15:userId="Natalya Scim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6E"/>
    <w:rsid w:val="000148D5"/>
    <w:rsid w:val="00025E02"/>
    <w:rsid w:val="00026DBF"/>
    <w:rsid w:val="00030686"/>
    <w:rsid w:val="00032331"/>
    <w:rsid w:val="000433E8"/>
    <w:rsid w:val="0004625A"/>
    <w:rsid w:val="00047B09"/>
    <w:rsid w:val="0005556D"/>
    <w:rsid w:val="00061EA8"/>
    <w:rsid w:val="00066991"/>
    <w:rsid w:val="00070656"/>
    <w:rsid w:val="000828B2"/>
    <w:rsid w:val="00091851"/>
    <w:rsid w:val="00092237"/>
    <w:rsid w:val="00094A1B"/>
    <w:rsid w:val="000A73FF"/>
    <w:rsid w:val="000B1669"/>
    <w:rsid w:val="000B6126"/>
    <w:rsid w:val="000D49E3"/>
    <w:rsid w:val="000D4BC1"/>
    <w:rsid w:val="000E5129"/>
    <w:rsid w:val="000F27F9"/>
    <w:rsid w:val="000F5110"/>
    <w:rsid w:val="0011048E"/>
    <w:rsid w:val="00151DFE"/>
    <w:rsid w:val="00154186"/>
    <w:rsid w:val="00156057"/>
    <w:rsid w:val="00157450"/>
    <w:rsid w:val="00170A73"/>
    <w:rsid w:val="001750B0"/>
    <w:rsid w:val="00183217"/>
    <w:rsid w:val="00192F4F"/>
    <w:rsid w:val="001A0F2C"/>
    <w:rsid w:val="001A1CC2"/>
    <w:rsid w:val="001A6F93"/>
    <w:rsid w:val="001B2843"/>
    <w:rsid w:val="001F2C63"/>
    <w:rsid w:val="002006CD"/>
    <w:rsid w:val="002108CE"/>
    <w:rsid w:val="002125C7"/>
    <w:rsid w:val="002155A5"/>
    <w:rsid w:val="002178B5"/>
    <w:rsid w:val="00220B54"/>
    <w:rsid w:val="00236E5F"/>
    <w:rsid w:val="002417C6"/>
    <w:rsid w:val="00246053"/>
    <w:rsid w:val="00270A8D"/>
    <w:rsid w:val="00271361"/>
    <w:rsid w:val="00275F69"/>
    <w:rsid w:val="00284F98"/>
    <w:rsid w:val="00293227"/>
    <w:rsid w:val="002A12A6"/>
    <w:rsid w:val="002A60B4"/>
    <w:rsid w:val="002B29F0"/>
    <w:rsid w:val="002B370B"/>
    <w:rsid w:val="002B3A86"/>
    <w:rsid w:val="002C0D0E"/>
    <w:rsid w:val="002C245B"/>
    <w:rsid w:val="002C3E42"/>
    <w:rsid w:val="002E0253"/>
    <w:rsid w:val="002E6708"/>
    <w:rsid w:val="00312BC0"/>
    <w:rsid w:val="00315497"/>
    <w:rsid w:val="003224F8"/>
    <w:rsid w:val="003268E7"/>
    <w:rsid w:val="00330925"/>
    <w:rsid w:val="00333B37"/>
    <w:rsid w:val="003435F5"/>
    <w:rsid w:val="0035445A"/>
    <w:rsid w:val="00380C9F"/>
    <w:rsid w:val="00394F73"/>
    <w:rsid w:val="003A2FC7"/>
    <w:rsid w:val="003A5003"/>
    <w:rsid w:val="003B094B"/>
    <w:rsid w:val="003B7836"/>
    <w:rsid w:val="003D0BC5"/>
    <w:rsid w:val="003F2213"/>
    <w:rsid w:val="003F6046"/>
    <w:rsid w:val="00412471"/>
    <w:rsid w:val="00430CCD"/>
    <w:rsid w:val="0043181E"/>
    <w:rsid w:val="00435E65"/>
    <w:rsid w:val="00454E52"/>
    <w:rsid w:val="0045534C"/>
    <w:rsid w:val="004575E0"/>
    <w:rsid w:val="00461BB5"/>
    <w:rsid w:val="004717B1"/>
    <w:rsid w:val="0047336B"/>
    <w:rsid w:val="00490C03"/>
    <w:rsid w:val="00491DBF"/>
    <w:rsid w:val="004A0C40"/>
    <w:rsid w:val="004B015D"/>
    <w:rsid w:val="004B5F56"/>
    <w:rsid w:val="004B6495"/>
    <w:rsid w:val="004C03D6"/>
    <w:rsid w:val="004C068D"/>
    <w:rsid w:val="004C1D65"/>
    <w:rsid w:val="004E1453"/>
    <w:rsid w:val="004F4235"/>
    <w:rsid w:val="0050636C"/>
    <w:rsid w:val="00514FEE"/>
    <w:rsid w:val="00514FEF"/>
    <w:rsid w:val="00520606"/>
    <w:rsid w:val="00520B85"/>
    <w:rsid w:val="00521611"/>
    <w:rsid w:val="005273DF"/>
    <w:rsid w:val="0053228A"/>
    <w:rsid w:val="00533F33"/>
    <w:rsid w:val="005357E7"/>
    <w:rsid w:val="00546B6E"/>
    <w:rsid w:val="00552170"/>
    <w:rsid w:val="005523C0"/>
    <w:rsid w:val="005674C3"/>
    <w:rsid w:val="00593E6B"/>
    <w:rsid w:val="00595AAC"/>
    <w:rsid w:val="005C56EA"/>
    <w:rsid w:val="005C637F"/>
    <w:rsid w:val="005D5769"/>
    <w:rsid w:val="005E09CC"/>
    <w:rsid w:val="005E2A6C"/>
    <w:rsid w:val="005E58D3"/>
    <w:rsid w:val="005F5D13"/>
    <w:rsid w:val="005F5FDB"/>
    <w:rsid w:val="005F6310"/>
    <w:rsid w:val="00600A1B"/>
    <w:rsid w:val="00601F4E"/>
    <w:rsid w:val="006103BE"/>
    <w:rsid w:val="00615099"/>
    <w:rsid w:val="0062592D"/>
    <w:rsid w:val="00625BF2"/>
    <w:rsid w:val="00636C5E"/>
    <w:rsid w:val="0064064E"/>
    <w:rsid w:val="006607A9"/>
    <w:rsid w:val="00663979"/>
    <w:rsid w:val="00671EB9"/>
    <w:rsid w:val="006746F9"/>
    <w:rsid w:val="006779D1"/>
    <w:rsid w:val="006942C4"/>
    <w:rsid w:val="00694C07"/>
    <w:rsid w:val="006A25E9"/>
    <w:rsid w:val="006B79FB"/>
    <w:rsid w:val="006C2927"/>
    <w:rsid w:val="006E1318"/>
    <w:rsid w:val="00704CDC"/>
    <w:rsid w:val="00716A37"/>
    <w:rsid w:val="00736468"/>
    <w:rsid w:val="0073712F"/>
    <w:rsid w:val="0077536D"/>
    <w:rsid w:val="00776346"/>
    <w:rsid w:val="00783D82"/>
    <w:rsid w:val="00787812"/>
    <w:rsid w:val="00793524"/>
    <w:rsid w:val="007962FA"/>
    <w:rsid w:val="007C0FA7"/>
    <w:rsid w:val="007C3B8C"/>
    <w:rsid w:val="00807C1B"/>
    <w:rsid w:val="00812FB5"/>
    <w:rsid w:val="008335C2"/>
    <w:rsid w:val="00834963"/>
    <w:rsid w:val="00841057"/>
    <w:rsid w:val="008458A4"/>
    <w:rsid w:val="00846A1B"/>
    <w:rsid w:val="00852E84"/>
    <w:rsid w:val="008601F3"/>
    <w:rsid w:val="00862F8C"/>
    <w:rsid w:val="00863B50"/>
    <w:rsid w:val="00863B8A"/>
    <w:rsid w:val="008649B1"/>
    <w:rsid w:val="0086620F"/>
    <w:rsid w:val="00867160"/>
    <w:rsid w:val="00882B8D"/>
    <w:rsid w:val="008854EC"/>
    <w:rsid w:val="008A2FBD"/>
    <w:rsid w:val="008A6E36"/>
    <w:rsid w:val="008E17CC"/>
    <w:rsid w:val="008E4E7F"/>
    <w:rsid w:val="008E512A"/>
    <w:rsid w:val="00904154"/>
    <w:rsid w:val="00913A51"/>
    <w:rsid w:val="00920109"/>
    <w:rsid w:val="00923F6B"/>
    <w:rsid w:val="00934396"/>
    <w:rsid w:val="00947044"/>
    <w:rsid w:val="009519CE"/>
    <w:rsid w:val="009770E1"/>
    <w:rsid w:val="00977BF5"/>
    <w:rsid w:val="00980D7D"/>
    <w:rsid w:val="00992099"/>
    <w:rsid w:val="009A109E"/>
    <w:rsid w:val="009A2FB5"/>
    <w:rsid w:val="009B19CD"/>
    <w:rsid w:val="009B4B57"/>
    <w:rsid w:val="009C74C7"/>
    <w:rsid w:val="009E594F"/>
    <w:rsid w:val="009F1D31"/>
    <w:rsid w:val="009F654E"/>
    <w:rsid w:val="00A0739C"/>
    <w:rsid w:val="00A33A8A"/>
    <w:rsid w:val="00A352ED"/>
    <w:rsid w:val="00A520C5"/>
    <w:rsid w:val="00A54DD4"/>
    <w:rsid w:val="00A62843"/>
    <w:rsid w:val="00A65493"/>
    <w:rsid w:val="00A665F6"/>
    <w:rsid w:val="00AB032D"/>
    <w:rsid w:val="00AB0596"/>
    <w:rsid w:val="00AB47BD"/>
    <w:rsid w:val="00AC3BC4"/>
    <w:rsid w:val="00AC6EB5"/>
    <w:rsid w:val="00AD438D"/>
    <w:rsid w:val="00AE0598"/>
    <w:rsid w:val="00AE3D4A"/>
    <w:rsid w:val="00AE4A7F"/>
    <w:rsid w:val="00AF24CB"/>
    <w:rsid w:val="00AF3B2B"/>
    <w:rsid w:val="00B00178"/>
    <w:rsid w:val="00B038D8"/>
    <w:rsid w:val="00B06FEC"/>
    <w:rsid w:val="00B24CF9"/>
    <w:rsid w:val="00B26ABB"/>
    <w:rsid w:val="00B334EE"/>
    <w:rsid w:val="00B33D6F"/>
    <w:rsid w:val="00B527B7"/>
    <w:rsid w:val="00B5762C"/>
    <w:rsid w:val="00B678E4"/>
    <w:rsid w:val="00B80A47"/>
    <w:rsid w:val="00B81DCC"/>
    <w:rsid w:val="00B945EA"/>
    <w:rsid w:val="00B96D9A"/>
    <w:rsid w:val="00BA2F24"/>
    <w:rsid w:val="00BB2887"/>
    <w:rsid w:val="00BD4120"/>
    <w:rsid w:val="00BD7580"/>
    <w:rsid w:val="00BD7AC9"/>
    <w:rsid w:val="00BE0D84"/>
    <w:rsid w:val="00BF5F2B"/>
    <w:rsid w:val="00C0074C"/>
    <w:rsid w:val="00C114D8"/>
    <w:rsid w:val="00C12C2F"/>
    <w:rsid w:val="00C167B2"/>
    <w:rsid w:val="00C17B73"/>
    <w:rsid w:val="00C24440"/>
    <w:rsid w:val="00C31ACC"/>
    <w:rsid w:val="00C40595"/>
    <w:rsid w:val="00C40673"/>
    <w:rsid w:val="00C66B2F"/>
    <w:rsid w:val="00C7484E"/>
    <w:rsid w:val="00C91740"/>
    <w:rsid w:val="00CA669B"/>
    <w:rsid w:val="00CB4B66"/>
    <w:rsid w:val="00CB55E1"/>
    <w:rsid w:val="00CC5717"/>
    <w:rsid w:val="00CD0629"/>
    <w:rsid w:val="00CE282C"/>
    <w:rsid w:val="00CE7368"/>
    <w:rsid w:val="00CF788F"/>
    <w:rsid w:val="00D010B2"/>
    <w:rsid w:val="00D259E1"/>
    <w:rsid w:val="00D26345"/>
    <w:rsid w:val="00D41C4B"/>
    <w:rsid w:val="00D43AC6"/>
    <w:rsid w:val="00D51117"/>
    <w:rsid w:val="00D63EC4"/>
    <w:rsid w:val="00D650E7"/>
    <w:rsid w:val="00D66072"/>
    <w:rsid w:val="00D74263"/>
    <w:rsid w:val="00D83DA2"/>
    <w:rsid w:val="00D844A4"/>
    <w:rsid w:val="00D9022E"/>
    <w:rsid w:val="00DB5022"/>
    <w:rsid w:val="00DB528C"/>
    <w:rsid w:val="00DB6459"/>
    <w:rsid w:val="00DE2386"/>
    <w:rsid w:val="00DE76AA"/>
    <w:rsid w:val="00DF01BA"/>
    <w:rsid w:val="00DF10B3"/>
    <w:rsid w:val="00E03297"/>
    <w:rsid w:val="00E10ACB"/>
    <w:rsid w:val="00E179DB"/>
    <w:rsid w:val="00E2037D"/>
    <w:rsid w:val="00E26551"/>
    <w:rsid w:val="00E40EC8"/>
    <w:rsid w:val="00E55714"/>
    <w:rsid w:val="00E63CC0"/>
    <w:rsid w:val="00E712BF"/>
    <w:rsid w:val="00E71E5C"/>
    <w:rsid w:val="00E84A5F"/>
    <w:rsid w:val="00E90546"/>
    <w:rsid w:val="00E91C6D"/>
    <w:rsid w:val="00E927A7"/>
    <w:rsid w:val="00E9467E"/>
    <w:rsid w:val="00EB3820"/>
    <w:rsid w:val="00EC32B3"/>
    <w:rsid w:val="00EC60DF"/>
    <w:rsid w:val="00ED32B6"/>
    <w:rsid w:val="00EF00E5"/>
    <w:rsid w:val="00F00981"/>
    <w:rsid w:val="00F0271B"/>
    <w:rsid w:val="00F13E61"/>
    <w:rsid w:val="00F1411E"/>
    <w:rsid w:val="00F32AAF"/>
    <w:rsid w:val="00F37105"/>
    <w:rsid w:val="00F53616"/>
    <w:rsid w:val="00F5446F"/>
    <w:rsid w:val="00F55274"/>
    <w:rsid w:val="00F615E1"/>
    <w:rsid w:val="00F6654E"/>
    <w:rsid w:val="00F676B6"/>
    <w:rsid w:val="00F82B43"/>
    <w:rsid w:val="00F835BC"/>
    <w:rsid w:val="00F84CAC"/>
    <w:rsid w:val="00F959FA"/>
    <w:rsid w:val="00FB4A62"/>
    <w:rsid w:val="00FC009E"/>
    <w:rsid w:val="00FD3FAE"/>
    <w:rsid w:val="00FF32B8"/>
    <w:rsid w:val="00FF48BC"/>
    <w:rsid w:val="00FF6ECB"/>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BFA7C"/>
  <w15:chartTrackingRefBased/>
  <w15:docId w15:val="{E5D14737-7B10-44B8-A480-53FF2FBE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C5E"/>
    <w:rPr>
      <w:color w:val="0563C1" w:themeColor="hyperlink"/>
      <w:u w:val="single"/>
    </w:rPr>
  </w:style>
  <w:style w:type="character" w:styleId="UnresolvedMention">
    <w:name w:val="Unresolved Mention"/>
    <w:basedOn w:val="DefaultParagraphFont"/>
    <w:uiPriority w:val="99"/>
    <w:semiHidden/>
    <w:unhideWhenUsed/>
    <w:rsid w:val="00636C5E"/>
    <w:rPr>
      <w:color w:val="605E5C"/>
      <w:shd w:val="clear" w:color="auto" w:fill="E1DFDD"/>
    </w:rPr>
  </w:style>
  <w:style w:type="paragraph" w:styleId="EndnoteText">
    <w:name w:val="endnote text"/>
    <w:basedOn w:val="Normal"/>
    <w:link w:val="EndnoteTextChar"/>
    <w:uiPriority w:val="99"/>
    <w:semiHidden/>
    <w:unhideWhenUsed/>
    <w:rsid w:val="00A352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2ED"/>
    <w:rPr>
      <w:sz w:val="20"/>
      <w:szCs w:val="20"/>
    </w:rPr>
  </w:style>
  <w:style w:type="character" w:styleId="EndnoteReference">
    <w:name w:val="endnote reference"/>
    <w:basedOn w:val="DefaultParagraphFont"/>
    <w:uiPriority w:val="99"/>
    <w:semiHidden/>
    <w:unhideWhenUsed/>
    <w:rsid w:val="00A352ED"/>
    <w:rPr>
      <w:vertAlign w:val="superscript"/>
    </w:rPr>
  </w:style>
  <w:style w:type="paragraph" w:styleId="FootnoteText">
    <w:name w:val="footnote text"/>
    <w:basedOn w:val="Normal"/>
    <w:link w:val="FootnoteTextChar"/>
    <w:uiPriority w:val="99"/>
    <w:semiHidden/>
    <w:unhideWhenUsed/>
    <w:rsid w:val="00CE7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368"/>
    <w:rPr>
      <w:sz w:val="20"/>
      <w:szCs w:val="20"/>
    </w:rPr>
  </w:style>
  <w:style w:type="character" w:styleId="FootnoteReference">
    <w:name w:val="footnote reference"/>
    <w:basedOn w:val="DefaultParagraphFont"/>
    <w:uiPriority w:val="99"/>
    <w:semiHidden/>
    <w:unhideWhenUsed/>
    <w:rsid w:val="00CE7368"/>
    <w:rPr>
      <w:vertAlign w:val="superscript"/>
    </w:rPr>
  </w:style>
  <w:style w:type="character" w:styleId="CommentReference">
    <w:name w:val="annotation reference"/>
    <w:basedOn w:val="DefaultParagraphFont"/>
    <w:uiPriority w:val="99"/>
    <w:semiHidden/>
    <w:unhideWhenUsed/>
    <w:rsid w:val="001A0F2C"/>
    <w:rPr>
      <w:sz w:val="16"/>
      <w:szCs w:val="16"/>
    </w:rPr>
  </w:style>
  <w:style w:type="paragraph" w:styleId="CommentText">
    <w:name w:val="annotation text"/>
    <w:basedOn w:val="Normal"/>
    <w:link w:val="CommentTextChar"/>
    <w:uiPriority w:val="99"/>
    <w:semiHidden/>
    <w:unhideWhenUsed/>
    <w:rsid w:val="001A0F2C"/>
    <w:pPr>
      <w:spacing w:line="240" w:lineRule="auto"/>
    </w:pPr>
    <w:rPr>
      <w:sz w:val="20"/>
      <w:szCs w:val="20"/>
    </w:rPr>
  </w:style>
  <w:style w:type="character" w:customStyle="1" w:styleId="CommentTextChar">
    <w:name w:val="Comment Text Char"/>
    <w:basedOn w:val="DefaultParagraphFont"/>
    <w:link w:val="CommentText"/>
    <w:uiPriority w:val="99"/>
    <w:semiHidden/>
    <w:rsid w:val="001A0F2C"/>
    <w:rPr>
      <w:sz w:val="20"/>
      <w:szCs w:val="20"/>
    </w:rPr>
  </w:style>
  <w:style w:type="paragraph" w:styleId="CommentSubject">
    <w:name w:val="annotation subject"/>
    <w:basedOn w:val="CommentText"/>
    <w:next w:val="CommentText"/>
    <w:link w:val="CommentSubjectChar"/>
    <w:uiPriority w:val="99"/>
    <w:semiHidden/>
    <w:unhideWhenUsed/>
    <w:rsid w:val="001A0F2C"/>
    <w:rPr>
      <w:b/>
      <w:bCs/>
    </w:rPr>
  </w:style>
  <w:style w:type="character" w:customStyle="1" w:styleId="CommentSubjectChar">
    <w:name w:val="Comment Subject Char"/>
    <w:basedOn w:val="CommentTextChar"/>
    <w:link w:val="CommentSubject"/>
    <w:uiPriority w:val="99"/>
    <w:semiHidden/>
    <w:rsid w:val="001A0F2C"/>
    <w:rPr>
      <w:b/>
      <w:bCs/>
      <w:sz w:val="20"/>
      <w:szCs w:val="20"/>
    </w:rPr>
  </w:style>
  <w:style w:type="character" w:styleId="FollowedHyperlink">
    <w:name w:val="FollowedHyperlink"/>
    <w:basedOn w:val="DefaultParagraphFont"/>
    <w:uiPriority w:val="99"/>
    <w:semiHidden/>
    <w:unhideWhenUsed/>
    <w:rsid w:val="001A0F2C"/>
    <w:rPr>
      <w:color w:val="954F72" w:themeColor="followedHyperlink"/>
      <w:u w:val="single"/>
    </w:rPr>
  </w:style>
  <w:style w:type="paragraph" w:styleId="BalloonText">
    <w:name w:val="Balloon Text"/>
    <w:basedOn w:val="Normal"/>
    <w:link w:val="BalloonTextChar"/>
    <w:uiPriority w:val="99"/>
    <w:semiHidden/>
    <w:unhideWhenUsed/>
    <w:rsid w:val="00852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84"/>
    <w:rPr>
      <w:rFonts w:ascii="Segoe UI" w:hAnsi="Segoe UI" w:cs="Segoe UI"/>
      <w:sz w:val="18"/>
      <w:szCs w:val="18"/>
    </w:rPr>
  </w:style>
  <w:style w:type="paragraph" w:styleId="Header">
    <w:name w:val="header"/>
    <w:basedOn w:val="Normal"/>
    <w:link w:val="HeaderChar"/>
    <w:uiPriority w:val="99"/>
    <w:unhideWhenUsed/>
    <w:rsid w:val="0062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F2"/>
  </w:style>
  <w:style w:type="paragraph" w:styleId="Footer">
    <w:name w:val="footer"/>
    <w:basedOn w:val="Normal"/>
    <w:link w:val="FooterChar"/>
    <w:uiPriority w:val="99"/>
    <w:unhideWhenUsed/>
    <w:rsid w:val="0062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F2"/>
  </w:style>
  <w:style w:type="paragraph" w:styleId="Revision">
    <w:name w:val="Revision"/>
    <w:hidden/>
    <w:uiPriority w:val="99"/>
    <w:semiHidden/>
    <w:rsid w:val="006B79FB"/>
    <w:pPr>
      <w:spacing w:after="0" w:line="240" w:lineRule="auto"/>
    </w:pPr>
  </w:style>
  <w:style w:type="paragraph" w:styleId="Title">
    <w:name w:val="Title"/>
    <w:basedOn w:val="Normal"/>
    <w:next w:val="Normal"/>
    <w:link w:val="TitleChar"/>
    <w:uiPriority w:val="10"/>
    <w:qFormat/>
    <w:rsid w:val="00FF32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2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s://www.almendron.com/tribuna/dominic-ongwen-the-iccs-poster-and-problem-child/" TargetMode="External"/><Relationship Id="rId3" Type="http://schemas.openxmlformats.org/officeDocument/2006/relationships/hyperlink" Target="https://www.ijmonitor.org/2017/04/just-or-unjust-mixed-reactions-on-whether-ongwen-should-be-on-trial/" TargetMode="External"/><Relationship Id="rId7" Type="http://schemas.openxmlformats.org/officeDocument/2006/relationships/hyperlink" Target="https://theconversation.com/icc-judges-ignored-ongwens-background-in-guilty-verdict-why-its-a-mistake-154985" TargetMode="External"/><Relationship Id="rId2" Type="http://schemas.openxmlformats.org/officeDocument/2006/relationships/hyperlink" Target="https://www.icc-cpi.int/nr/rdonlyres/3255817D-fd00-4072-9F58-fdb869F9B7cf/143834/lmo_20051014_English1.pdf" TargetMode="External"/><Relationship Id="rId1" Type="http://schemas.openxmlformats.org/officeDocument/2006/relationships/hyperlink" Target="https://www.icc-cpi.int/CourtRecords/CR2021_01026.PDF" TargetMode="External"/><Relationship Id="rId6" Type="http://schemas.openxmlformats.org/officeDocument/2006/relationships/hyperlink" Target="https://www.icccpi.int/CourtRecords/CR2012_03942.PDF" TargetMode="External"/><Relationship Id="rId5" Type="http://schemas.openxmlformats.org/officeDocument/2006/relationships/hyperlink" Target="https://justiceinconflict.org/2021/02/05/getting-an-unforgettable-gettable-the-trial-of-dominic-ongwen/" TargetMode="External"/><Relationship Id="rId4" Type="http://schemas.openxmlformats.org/officeDocument/2006/relationships/hyperlink" Target="https://www.theeastafrican.co.ke/tea/news/east-africa/ongwen-to-appeal-icc-verdict-3291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B5CA-F678-472C-82CD-018A7698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Francis Ssekandi</cp:lastModifiedBy>
  <cp:revision>3</cp:revision>
  <dcterms:created xsi:type="dcterms:W3CDTF">2021-09-22T18:03:00Z</dcterms:created>
  <dcterms:modified xsi:type="dcterms:W3CDTF">2021-09-22T18:06:00Z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id="xizIjsJx"/&gt;&lt;style id="http://www.zotero.org/styles/chicago-note-bibliography" locale="en-US" hasBibliography="1" bibliographyStyleHasBeenSet="0"/&gt;&lt;prefs&gt;&lt;pref name="fieldType" value="Field"/&gt;&lt;pre</vt:lpwstr>
  </property>
  <property fmtid="{D5CDD505-2E9C-101B-9397-08002B2CF9AE}" pid="3" name="ZOTERO_PREF_2">
    <vt:lpwstr>f name="noteType" value="2"/&gt;&lt;/prefs&gt;&lt;/data&gt;</vt:lpwstr>
  </property>
</Properties>
</file>